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001-41516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 International Limited</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2501 Central Plaza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227 Huangpi North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 200003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+86-021-6136-6616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tcPr>
          <w:p>
            <w:pPr>
              <w:spacing w:after="0"/>
              <w:rPr>
                <w:sz w:val="18"/>
                <w:szCs w:val="18"/>
                <w:color w:val="auto"/>
              </w:rPr>
            </w:pPr>
          </w:p>
        </w:tc>
        <w:tc>
          <w:tcPr>
            <w:tcW w:w="886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Earnings Release</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88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TH International Limited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Yongchen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Yongchen Lu</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600075" cy="634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Tims China Announces First Quarter 2026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35.9 Million Registered Loyalty Club Members at Quarter-End,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Representing 42.9% Year-over-Year Growth</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and NEW YORK, June 9, 2026 (GLOBE NEWSWIRE) -- TH International Limited (Nasdaq: THCH), the parent company of the exclusive master franchisees of Tim Hortons coffee shops in China (“Tims China” or the “Company”) today announced its unaudited financial results for the first quarter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of RMB256.7 million (USD37.2 million), representing a 14.6% decrease from the same quarter of 2025.</w:t>
      </w:r>
    </w:p>
    <w:p>
      <w:pPr>
        <w:spacing w:after="0" w:line="2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System sales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RMB322.9 million (USD46.8 million), representing a 14.2% decrease from the same quarter of 2025.</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line="27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closures </w:t>
      </w:r>
      <w:r>
        <w:rPr>
          <w:rFonts w:ascii="Times New Roman" w:cs="Times New Roman" w:eastAsia="Times New Roman" w:hAnsi="Times New Roman"/>
          <w:sz w:val="18"/>
          <w:szCs w:val="18"/>
          <w:color w:val="auto"/>
        </w:rPr>
        <w:t>totaled 21 (a net closure of 5 made-to-order (“MTO”) stores and a net closure of 16 non-MTO stores, of which 7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Tims Express stores).</w:t>
      </w:r>
    </w:p>
    <w:p>
      <w:pPr>
        <w:spacing w:after="0" w:line="16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Company owned and operated store contribution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previously reported as adjusted store EBITDA, was RMB3.7 million (USD0.5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RMB17.2 million in the same quarter of 2025.</w:t>
      </w:r>
    </w:p>
    <w:p>
      <w:pPr>
        <w:spacing w:after="0" w:line="202" w:lineRule="exact"/>
        <w:rPr>
          <w:rFonts w:ascii="Times New Roman" w:cs="Times New Roman" w:eastAsia="Times New Roman" w:hAnsi="Times New Roman"/>
          <w:sz w:val="36"/>
          <w:szCs w:val="36"/>
          <w:color w:val="auto"/>
          <w:vertAlign w:val="superscript"/>
        </w:rPr>
      </w:pPr>
    </w:p>
    <w:p>
      <w:pPr>
        <w:ind w:left="660" w:hanging="328"/>
        <w:spacing w:after="0" w:line="188"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Company owned and operated store contribution margin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previously reported as adjusted store EBITDA margin, was 1.8%,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6.7% in the same quarter of 2025.</w:t>
      </w:r>
    </w:p>
    <w:p>
      <w:pPr>
        <w:spacing w:after="0" w:line="194"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Registered loyalty club members </w:t>
      </w:r>
      <w:r>
        <w:rPr>
          <w:rFonts w:ascii="Times New Roman" w:cs="Times New Roman" w:eastAsia="Times New Roman" w:hAnsi="Times New Roman"/>
          <w:sz w:val="18"/>
          <w:szCs w:val="18"/>
          <w:color w:val="auto"/>
        </w:rPr>
        <w:t>totaled 35.9 million members as of March 31, 2026, representing a 42.9% year-over-year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MANAGEMENT 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Yongchen Lu, CEO &amp; Director of Tims China, stated, “In the first quarter, we continued our strategic adjustment to prune underperforming stores, and we expect to complete this process and resume net new store openings starting from the second quarter of 2026. Our sub-franchise businesses maintained steady contribution to cash flows and profitability. Other revenues increased by 7.7% year-over-year, and profits from other revenues achieved a year-over-year growth of 14.0% in Q1 2026. Our registered loyalty club membership exceeded 35.9 million as of March 31, 2026, representing 42.9% year-over-year growth and serving both as a solid foundation for growth and a testament to our customers’ support for and embrace of Tim China’s loyalty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sales is calculated as the gross merchandise value of sales generated from both company owned and operated stores and franchised stores.</w:t>
      </w:r>
    </w:p>
    <w:p>
      <w:pPr>
        <w:spacing w:after="0" w:line="27" w:lineRule="exact"/>
        <w:rPr>
          <w:sz w:val="20"/>
          <w:szCs w:val="20"/>
          <w:color w:val="auto"/>
        </w:rPr>
      </w:pPr>
    </w:p>
    <w:p>
      <w:pPr>
        <w:ind w:left="340" w:hanging="332"/>
        <w:spacing w:after="0" w:line="182"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Company owned and operated store contribution, is calculated as fully burdened gross profit</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of company owned and operated stores excluding depreciation &amp; amortization.</w:t>
      </w:r>
    </w:p>
    <w:p>
      <w:pPr>
        <w:spacing w:after="0" w:line="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owned and operated store contribution margin, is calculated as company owned and operated store contribution as a percentage of revenues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company owned and operated stores.</w:t>
      </w:r>
    </w:p>
    <w:p>
      <w:pPr>
        <w:spacing w:after="0" w:line="9" w:lineRule="exact"/>
        <w:rPr>
          <w:sz w:val="20"/>
          <w:szCs w:val="20"/>
          <w:color w:val="auto"/>
        </w:rPr>
      </w:pPr>
    </w:p>
    <w:p>
      <w:pPr>
        <w:jc w:val="both"/>
        <w:ind w:left="340" w:hanging="332"/>
        <w:spacing w:after="0" w:line="255"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burdened gross profit of company owned and operated stores, the most directly comparable GAAP measure to company owned and operated store contribution, was a loss of RMB17.9 million (USD2.6 million) for the three months ended March 31, 2026, compared to a loss of RMB11.2 million in the same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Dong (Albert) Li, CFO of Tims China, commented, “We are pleased to enter into a definitive agreement with THRI for the issuance of up to US$55.0 million additional senior secured convertible notes, which underscores the strong commitment of our brand owner and founding shareholder. The proposed financing transaction provides pivotal capital to fund further expansion of our store network nationwide and to fortify our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RMB256.7 million (USD37.2 million) for the three months ended March 31, 2026, representing a decrease of 14.6% from RMB300.7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2025. Total revenues comprise:</w:t>
      </w:r>
    </w:p>
    <w:p>
      <w:pPr>
        <w:spacing w:after="0" w:line="155" w:lineRule="exact"/>
        <w:rPr>
          <w:sz w:val="20"/>
          <w:szCs w:val="20"/>
          <w:color w:val="auto"/>
        </w:rPr>
      </w:pPr>
    </w:p>
    <w:p>
      <w:pPr>
        <w:jc w:val="both"/>
        <w:ind w:left="66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Revenues from Company owned and operated stores </w:t>
      </w:r>
      <w:r>
        <w:rPr>
          <w:rFonts w:ascii="Times New Roman" w:cs="Times New Roman" w:eastAsia="Times New Roman" w:hAnsi="Times New Roman"/>
          <w:sz w:val="18"/>
          <w:szCs w:val="18"/>
          <w:color w:val="auto"/>
        </w:rPr>
        <w:t>were RMB207.2 million (USD30.0 million) for the three months ended March 31,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a decrease of 18.7% from RMB254.8 million in the same quarter of 2025. The decrease was primarily attributable to closures of certain underperforming stores as the number of company owned and operated stores decreased from 569 as of March 31, 2025 to 541 as of March 31, 2026, and a 12.4% decline in same-store sales growth for company owned and operated stores in the first quarter of 2026. The decrease was also attributable to a 7.5% year-over-year decrease in average ticket size, and an 11.2% decrease in the number of orders from 8.9 million in the first quarter of 2025 to 7.9 million in the same quarter of 2026.</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revenues </w:t>
      </w:r>
      <w:r>
        <w:rPr>
          <w:rFonts w:ascii="Times New Roman" w:cs="Times New Roman" w:eastAsia="Times New Roman" w:hAnsi="Times New Roman"/>
          <w:sz w:val="18"/>
          <w:szCs w:val="18"/>
          <w:color w:val="auto"/>
        </w:rPr>
        <w:t>were RMB49.5 million (USD7.2 million) for the three months ended March 31, 2026, representing an increase of 7.7%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RMB46.0 million in the same quarter of 2025. The increase was primarily due to the expansion of our franchise business as the number of our franchised stores increased from 455 as of March 31, 2025 to 485 as of March 31, 2026.</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 owned and operated store costs and expenses </w:t>
      </w:r>
      <w:r>
        <w:rPr>
          <w:rFonts w:ascii="Times New Roman" w:cs="Times New Roman" w:eastAsia="Times New Roman" w:hAnsi="Times New Roman"/>
          <w:sz w:val="18"/>
          <w:szCs w:val="18"/>
          <w:color w:val="auto"/>
        </w:rPr>
        <w:t>were RMB218.0 million (USD31.6 million) for the three months ended March 31,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a decrease of 15.2% from RMB257.2 million in the same quarter of 2025. Company owned and operated store costs and expenses comprise:</w:t>
      </w:r>
    </w:p>
    <w:p>
      <w:pPr>
        <w:spacing w:after="0" w:line="155" w:lineRule="exact"/>
        <w:rPr>
          <w:sz w:val="20"/>
          <w:szCs w:val="20"/>
          <w:color w:val="auto"/>
        </w:rPr>
      </w:pPr>
    </w:p>
    <w:p>
      <w:pPr>
        <w:jc w:val="both"/>
        <w:ind w:left="660" w:hanging="328"/>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Food and packaging costs </w:t>
      </w:r>
      <w:r>
        <w:rPr>
          <w:rFonts w:ascii="Times New Roman" w:cs="Times New Roman" w:eastAsia="Times New Roman" w:hAnsi="Times New Roman"/>
          <w:sz w:val="18"/>
          <w:szCs w:val="18"/>
          <w:color w:val="auto"/>
        </w:rPr>
        <w:t>were RMB58.9 million (USD8.5 million) for the three months ended March 31, 2026, representing a decrease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23.9% from RMB77.5 million in the same quarter of 2025, which was in line with the revenue trend. As we continued to benefit from higher efficiencies in supply chains and cost reduction on raw materials, logistic and warehousing expenses, food and packaging costs as a percentage of revenues from company owned and operated stores decreased by 2.0 percentage points from 30.4% in the first quarter of 2025 to 28.4% in the same quarter of 2026.</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Rental and property management fees </w:t>
      </w:r>
      <w:r>
        <w:rPr>
          <w:rFonts w:ascii="Times New Roman" w:cs="Times New Roman" w:eastAsia="Times New Roman" w:hAnsi="Times New Roman"/>
          <w:sz w:val="18"/>
          <w:szCs w:val="18"/>
          <w:color w:val="auto"/>
        </w:rPr>
        <w:t>were RMB47.2 million (USD6.8 million) for the three months ended March 31, 2026, representing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of 16.2% from RMB56.3 million in the same quarter of 2025, which was in line with the revenue trend as the number of our company-owned and operated stores decreased from 569 as of March 31, 2025 to 541 as of March 31, 2026. Rental and property management fees as a percentage of revenues from company owned and operated stores increased by 0.7 percentage points from 22.1% in the first quarter of 2025 to 22.8% in the same quarter of 2026.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left="66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Payroll and employee benefits expenses </w:t>
      </w:r>
      <w:r>
        <w:rPr>
          <w:rFonts w:ascii="Times New Roman" w:cs="Times New Roman" w:eastAsia="Times New Roman" w:hAnsi="Times New Roman"/>
          <w:sz w:val="18"/>
          <w:szCs w:val="18"/>
          <w:color w:val="auto"/>
        </w:rPr>
        <w:t>were RMB44.8 million (USD6.5 million) for the three months ended March 31, 2026, representing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of 10.4% from RMB50.0 million in the same quarter of 2025, which was in line with the revenue trend. Payroll and employee benefits expenses as a percentage of revenues from company owned and operated stores increased by 2.0 percentage points from 19.6% in the first quarter of 2025 to 21.6% in the same quarter of 2026.</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Delivery costs </w:t>
      </w:r>
      <w:r>
        <w:rPr>
          <w:rFonts w:ascii="Times New Roman" w:cs="Times New Roman" w:eastAsia="Times New Roman" w:hAnsi="Times New Roman"/>
          <w:sz w:val="18"/>
          <w:szCs w:val="18"/>
          <w:color w:val="auto"/>
        </w:rPr>
        <w:t>were RMB27.3 million (USD4.0 million) for the three months ended March 31, 2026, representing an increase of 1.0%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RMB27.0 million in the same quarter of 2025, which was in line with the 8.9% increase in delivery orders from 4.5 million in the first quarter of 2025 to 4.9 million in the same quarter of 2026, partially offset by a reduction in average delivery costs per order. Delivery costs as a percentage of revenues from company owned and operated stores increased by 2.6 percentage points to 13.2% in the first quarter of 2026, compared to 10.6% in the same quarter of 2025, which was primarily due to delivery revenue as a percentage of revenues from company owned and operated stores increased from 53.1% in Q1 2025 to 65.1% in Q1 2026.</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operating expenses </w:t>
      </w:r>
      <w:r>
        <w:rPr>
          <w:rFonts w:ascii="Times New Roman" w:cs="Times New Roman" w:eastAsia="Times New Roman" w:hAnsi="Times New Roman"/>
          <w:sz w:val="18"/>
          <w:szCs w:val="18"/>
          <w:color w:val="auto"/>
        </w:rPr>
        <w:t>were RMB18.2 million (USD2.6 million) for the three months ended March 31, 2026, representing an increase of 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RMB18.0 million in the same quarter of 2025. Other operating expenses as a percentage of revenues from company owned and operated stores increased by 1.7 percentage points to 8.8% in the first quarter of 2026, compared to 7.1% in the same quarter of 2025.</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Store depreciation and amortization expenses </w:t>
      </w:r>
      <w:r>
        <w:rPr>
          <w:rFonts w:ascii="Times New Roman" w:cs="Times New Roman" w:eastAsia="Times New Roman" w:hAnsi="Times New Roman"/>
          <w:sz w:val="18"/>
          <w:szCs w:val="18"/>
          <w:color w:val="auto"/>
        </w:rPr>
        <w:t>were RMB21.6 million (USD3.1 million) for the three months ended March 31, 2026,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decrease of 23.9% from RMB28.4 million in the same quarter of 2025, which was primarily due to impairment on property and equipment in relation to company owned and operated store closures and the reduced capital expenditures per store as a result of our initiatives to improve store unit economics. Store depreciation and amortization as a percentage of revenues from company owned and operated stores decreased by 0.7 percentage points to 10.4% in the first quarter of 2026, compared to 11.1% in the same quarter of 2025.</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Costs of other revenues </w:t>
      </w:r>
      <w:r>
        <w:rPr>
          <w:rFonts w:ascii="Times New Roman" w:cs="Times New Roman" w:eastAsia="Times New Roman" w:hAnsi="Times New Roman"/>
          <w:sz w:val="18"/>
          <w:szCs w:val="18"/>
          <w:color w:val="auto"/>
        </w:rPr>
        <w:t>were RMB33.0 million (USD4.8 million) for the three months ended March 31, 2026, representing an increase of 4.8%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RMB31.5 million in the same quarter of 2025, which was in line with the revenue trend. Costs of other revenues as a percentage of other revenues decreased by 1.9 percentage points from 68.6% in the first quarter of 2025 to 66.7% in the same quarter of 2026 due to higher margin we generated from retail business during the first quarter of 2026.</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Marketing expenses </w:t>
      </w:r>
      <w:r>
        <w:rPr>
          <w:rFonts w:ascii="Times New Roman" w:cs="Times New Roman" w:eastAsia="Times New Roman" w:hAnsi="Times New Roman"/>
          <w:sz w:val="18"/>
          <w:szCs w:val="18"/>
          <w:color w:val="auto"/>
        </w:rPr>
        <w:t>were RMB9.8 million (USD1.4 million) for the three months ended March 31, 2026, representing a decrease of 43.7%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RMB17.4 million in the same quarter of 2025, driven by our cost optimization measures. Accordingly, marketing expenses as a percentage of total revenues decreased by 2.0 percentage points from 5.8% in the first quarter of 2025 to 3.8% in the same quarter of 2026.</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 cy="63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RMB48.0 million (USD7.0 million) for the three months ended March 31, 2026, representing a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7.3% from RMB51.8 million in the same quarter of 2025, which was primarily due to a RMB1.3 million (USD0.2 million) decrease in credit loss of account receivables, and a RMB1.5 million (USD0.2 million) decrease in professional and other service fees. As a result of the foregoing, </w:t>
      </w:r>
      <w:r>
        <w:rPr>
          <w:rFonts w:ascii="Times New Roman" w:cs="Times New Roman" w:eastAsia="Times New Roman" w:hAnsi="Times New Roman"/>
          <w:sz w:val="18"/>
          <w:szCs w:val="18"/>
          <w:b w:val="1"/>
          <w:b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general and administrative expenses</w:t>
      </w:r>
      <w:r>
        <w:rPr>
          <w:rFonts w:ascii="Times New Roman" w:cs="Times New Roman" w:eastAsia="Times New Roman" w:hAnsi="Times New Roman"/>
          <w:sz w:val="18"/>
          <w:szCs w:val="18"/>
          <w:color w:val="auto"/>
        </w:rPr>
        <w:t>, which excludes: (i) share-based compensation expenses of RMB1.5 million (USD0.2 million), and (ii)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of rental deposits of RMB3.1 million (USD0.4 million), were RMB43.4 million (USD6.3 million), representing a decrease of 7.9% from RMB47.2 million in the same quarter of 2025. Adjusted general and administrative expenses as a percentage of total revenues increased by 1.2 percentage points from 15.7% in the first quarter of 2025 to 16.9% in the same quarter of 2026. For more information on the Company’s non-GAAP financial measures, please see “Use of Non-GAAP Financial Measures” and “Reconciliation of Non-GAAP Measures to the Most Directly Comparable GAAP Measures” set forth at the end of this earnings release.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Franchise and royalty expenses </w:t>
      </w:r>
      <w:r>
        <w:rPr>
          <w:rFonts w:ascii="Times New Roman" w:cs="Times New Roman" w:eastAsia="Times New Roman" w:hAnsi="Times New Roman"/>
          <w:sz w:val="18"/>
          <w:szCs w:val="18"/>
          <w:color w:val="auto"/>
        </w:rPr>
        <w:t>were RMB13.5 million (USD2.0 million) for the three months ended March 31, 2026, representing a decrease of 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RMB13.9 million in the same quarter of 2025, which was in line with the revenue trend. Franchise and royalty expenses as a percentage of total revenues increased by 0.7 percentage points, from 4.6% in the first quarter of 2025 to 5.3% in the same quarter of 2026, as a result of higher royalty rate applicable.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Impairment losses of long-lived assets </w:t>
      </w:r>
      <w:r>
        <w:rPr>
          <w:rFonts w:ascii="Times New Roman" w:cs="Times New Roman" w:eastAsia="Times New Roman" w:hAnsi="Times New Roman"/>
          <w:sz w:val="18"/>
          <w:szCs w:val="18"/>
          <w:color w:val="auto"/>
        </w:rPr>
        <w:t>were RMB5.9 million (USD0.9 million) for the three months ended March 31, 2026, compared to RMB11.6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2025, which was primarily due to a decrease in the number of planned closures of underperforming company owned and operated stores.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As a result of the foregoing, </w:t>
      </w:r>
      <w:r>
        <w:rPr>
          <w:rFonts w:ascii="Times New Roman" w:cs="Times New Roman" w:eastAsia="Times New Roman" w:hAnsi="Times New Roman"/>
          <w:sz w:val="18"/>
          <w:szCs w:val="18"/>
          <w:b w:val="1"/>
          <w:bCs w:val="1"/>
          <w:color w:val="auto"/>
        </w:rPr>
        <w:t>operating loss</w:t>
      </w:r>
      <w:r>
        <w:rPr>
          <w:rFonts w:ascii="Times New Roman" w:cs="Times New Roman" w:eastAsia="Times New Roman" w:hAnsi="Times New Roman"/>
          <w:sz w:val="18"/>
          <w:szCs w:val="18"/>
          <w:color w:val="auto"/>
        </w:rPr>
        <w:t xml:space="preserve"> was RMB72.3 million (USD10.5 million) for the three months ended March 31, 2026, compared to RMB85.3 million in the same quarter of 2025.</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Corporate EBITDA </w:t>
      </w:r>
      <w:r>
        <w:rPr>
          <w:rFonts w:ascii="Times New Roman" w:cs="Times New Roman" w:eastAsia="Times New Roman" w:hAnsi="Times New Roman"/>
          <w:sz w:val="18"/>
          <w:szCs w:val="18"/>
          <w:color w:val="auto"/>
        </w:rPr>
        <w:t>was a loss of RMB30.1 million (USD4.4 million) for the three months ended March 31, 2026, compared to a loss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RMB29.3 million in the same quarter of 2025. </w:t>
      </w:r>
      <w:r>
        <w:rPr>
          <w:rFonts w:ascii="Times New Roman" w:cs="Times New Roman" w:eastAsia="Times New Roman" w:hAnsi="Times New Roman"/>
          <w:sz w:val="18"/>
          <w:szCs w:val="18"/>
          <w:b w:val="1"/>
          <w:bCs w:val="1"/>
          <w:color w:val="auto"/>
        </w:rPr>
        <w:t>Adjusted Corporate EBITDA margin</w:t>
      </w:r>
      <w:r>
        <w:rPr>
          <w:rFonts w:ascii="Times New Roman" w:cs="Times New Roman" w:eastAsia="Times New Roman" w:hAnsi="Times New Roman"/>
          <w:sz w:val="18"/>
          <w:szCs w:val="18"/>
          <w:color w:val="auto"/>
        </w:rPr>
        <w:t xml:space="preserve"> was negative 11.8% in the first quarter of 2026, compared to negative 9.8% in the same quarter of 2025.</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fair value of convertible notes </w:t>
      </w:r>
      <w:r>
        <w:rPr>
          <w:rFonts w:ascii="Times New Roman" w:cs="Times New Roman" w:eastAsia="Times New Roman" w:hAnsi="Times New Roman"/>
          <w:sz w:val="18"/>
          <w:szCs w:val="18"/>
          <w:color w:val="auto"/>
        </w:rPr>
        <w:t>were a loss of RMB32.6 million (USD4.7 million) for the three months ended March 31, 2026, compared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gain of RMB29.5 million in the same quarter of 2025.</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RMB109.3 million (USD15.8 million) for the three months ended March 31, 2026, compared to RMB58.9 million for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18"/>
          <w:szCs w:val="18"/>
          <w:b w:val="1"/>
          <w:bCs w:val="1"/>
          <w:color w:val="auto"/>
        </w:rPr>
        <w:t>Adjusted net loss</w:t>
      </w:r>
      <w:r>
        <w:rPr>
          <w:rFonts w:ascii="Times New Roman" w:cs="Times New Roman" w:eastAsia="Times New Roman" w:hAnsi="Times New Roman"/>
          <w:sz w:val="18"/>
          <w:szCs w:val="18"/>
          <w:color w:val="auto"/>
        </w:rPr>
        <w:t xml:space="preserve">, which excludes: (i) share-based compensation expenses of RMB1.5 million (USD0.2 million); (ii) impairment losses of long-lived assets of RMB5.9 million (USD0.9 million), (iii) impairment losses of rental deposits of RMB3.1 million (USD0.5 million), (iv) loss on deposal of property and equipment of RMB0.6 million (USD0.1 million), and (v) loss from changes in fair value of convertible notes of RMB32.6 million (USD4.7 million), was RMB65.6 million (USD9.5 million) for the three months ended March 31, 2026, compared to RMB69.4 million for the same quarter of 2025. </w:t>
      </w:r>
      <w:r>
        <w:rPr>
          <w:rFonts w:ascii="Times New Roman" w:cs="Times New Roman" w:eastAsia="Times New Roman" w:hAnsi="Times New Roman"/>
          <w:sz w:val="18"/>
          <w:szCs w:val="18"/>
          <w:b w:val="1"/>
          <w:bCs w:val="1"/>
          <w:color w:val="auto"/>
        </w:rPr>
        <w:t xml:space="preserve">Adjusted net loss margin </w:t>
      </w:r>
      <w:r>
        <w:rPr>
          <w:rFonts w:ascii="Times New Roman" w:cs="Times New Roman" w:eastAsia="Times New Roman" w:hAnsi="Times New Roman"/>
          <w:sz w:val="18"/>
          <w:szCs w:val="18"/>
          <w:color w:val="auto"/>
        </w:rPr>
        <w:t>was negative 25.6% in the first quarter of 2026, compared to negative 23.0% in the same quarter of 2025.</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Basic and diluted loss per ordinary share </w:t>
      </w:r>
      <w:r>
        <w:rPr>
          <w:rFonts w:ascii="Times New Roman" w:cs="Times New Roman" w:eastAsia="Times New Roman" w:hAnsi="Times New Roman"/>
          <w:sz w:val="18"/>
          <w:szCs w:val="18"/>
          <w:color w:val="auto"/>
        </w:rPr>
        <w:t>was RMB3.38 (USD0.49) in the first quarter of 2026, compared to RMB1.78 in the same quarter of 2025.</w:t>
      </w:r>
      <w:r>
        <w:rPr>
          <w:rFonts w:ascii="Times New Roman" w:cs="Times New Roman" w:eastAsia="Times New Roman" w:hAnsi="Times New Roman"/>
          <w:sz w:val="18"/>
          <w:szCs w:val="18"/>
          <w:b w:val="1"/>
          <w:bCs w:val="1"/>
          <w:color w:val="auto"/>
        </w:rPr>
        <w:t xml:space="preserve"> Adjusted basic and diluted net loss per ordinary share </w:t>
      </w:r>
      <w:r>
        <w:rPr>
          <w:rFonts w:ascii="Times New Roman" w:cs="Times New Roman" w:eastAsia="Times New Roman" w:hAnsi="Times New Roman"/>
          <w:sz w:val="18"/>
          <w:szCs w:val="18"/>
          <w:color w:val="auto"/>
        </w:rPr>
        <w:t>was RMB2.04 (USD0.30) in the first quarter of 2026, compared to RMB2.10 in the same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2025.</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 cy="634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Company’s total cash and cash equivalents, restricted cash and time deposits were RMB111.4 million (USD16.2 million), compared to RMB129.7 million as of December 31, 2025. The change was primarily attributable to cash disbursements on business operations, partially offset by the draw-down of additional bank borrowings.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Tims only</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For the three months ended or as of</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Mar 31,</w:t>
            </w:r>
          </w:p>
        </w:tc>
        <w:tc>
          <w:tcPr>
            <w:tcW w:w="136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 30,</w:t>
            </w:r>
          </w:p>
        </w:tc>
        <w:tc>
          <w:tcPr>
            <w:tcW w:w="1380" w:type="dxa"/>
            <w:vAlign w:val="bottom"/>
            <w:gridSpan w:val="2"/>
          </w:tcPr>
          <w:p>
            <w:pPr>
              <w:jc w:val="right"/>
              <w:ind w:right="580"/>
              <w:spacing w:after="0" w:line="194" w:lineRule="exact"/>
              <w:rPr>
                <w:sz w:val="20"/>
                <w:szCs w:val="20"/>
                <w:color w:val="auto"/>
              </w:rPr>
            </w:pPr>
            <w:r>
              <w:rPr>
                <w:rFonts w:ascii="Times New Roman" w:cs="Times New Roman" w:eastAsia="Times New Roman" w:hAnsi="Times New Roman"/>
                <w:sz w:val="18"/>
                <w:szCs w:val="18"/>
                <w:b w:val="1"/>
                <w:bCs w:val="1"/>
                <w:color w:val="auto"/>
              </w:rPr>
              <w:t>Sep 30,</w:t>
            </w:r>
          </w:p>
        </w:tc>
        <w:tc>
          <w:tcPr>
            <w:tcW w:w="1380" w:type="dxa"/>
            <w:vAlign w:val="bottom"/>
            <w:gridSpan w:val="2"/>
          </w:tcPr>
          <w:p>
            <w:pPr>
              <w:jc w:val="right"/>
              <w:ind w:right="580"/>
              <w:spacing w:after="0" w:line="194" w:lineRule="exact"/>
              <w:rPr>
                <w:sz w:val="20"/>
                <w:szCs w:val="20"/>
                <w:color w:val="auto"/>
              </w:rPr>
            </w:pPr>
            <w:r>
              <w:rPr>
                <w:rFonts w:ascii="Times New Roman" w:cs="Times New Roman" w:eastAsia="Times New Roman" w:hAnsi="Times New Roman"/>
                <w:sz w:val="18"/>
                <w:szCs w:val="18"/>
                <w:b w:val="1"/>
                <w:bCs w:val="1"/>
                <w:color w:val="auto"/>
              </w:rPr>
              <w:t>Dec 31,</w:t>
            </w:r>
          </w:p>
        </w:tc>
        <w:tc>
          <w:tcPr>
            <w:tcW w:w="110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Mar 31,</w:t>
            </w:r>
          </w:p>
        </w:tc>
        <w:tc>
          <w:tcPr>
            <w:tcW w:w="160" w:type="dxa"/>
            <w:vAlign w:val="bottom"/>
          </w:tcPr>
          <w:p>
            <w:pPr>
              <w:spacing w:after="0"/>
              <w:rPr>
                <w:sz w:val="16"/>
                <w:szCs w:val="16"/>
                <w:color w:val="auto"/>
              </w:rPr>
            </w:pPr>
          </w:p>
        </w:tc>
      </w:tr>
      <w:tr>
        <w:trPr>
          <w:trHeight w:val="245"/>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(Exclude the discontinued business)</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1"/>
                <w:szCs w:val="21"/>
                <w:color w:val="auto"/>
              </w:rPr>
            </w:pPr>
          </w:p>
        </w:tc>
      </w:tr>
      <w:tr>
        <w:trPr>
          <w:trHeight w:val="216"/>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stores</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owned and operated stores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569</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Franchised stores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455</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 to order (MTO) stores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652</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Non-MTO stores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372</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323</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Same-store sales growth for system-wide stores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r>
      <w:tr>
        <w:trPr>
          <w:trHeight w:val="198"/>
        </w:trPr>
        <w:tc>
          <w:tcPr>
            <w:tcW w:w="44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Same-store sales growth for company owned and operated</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stores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loyalty club members (in thousands)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25,150</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26,192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27,900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31,021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35,930</w:t>
            </w:r>
          </w:p>
        </w:tc>
      </w:tr>
      <w:tr>
        <w:trPr>
          <w:trHeight w:val="198"/>
        </w:trPr>
        <w:tc>
          <w:tcPr>
            <w:tcW w:w="44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Company owned and operated store contribution (Renminbi</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thousands)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17,154</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27,176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21,786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9,164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3,730</w:t>
            </w:r>
          </w:p>
        </w:tc>
      </w:t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owned and operated store contribution margin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DEFINITIONS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sales growth. The percentage change in the sales of stores that have been operating for 12 months or longer during a certain period compared to the same period from the prior year. The same-store sales growth for any period of more than a month equals to the arithmetic average of the same-store sales growth of each month covered in the period. If a store was closed for seven days or more during any given month, its sales during that month and the same month in the comparison period are excluded for purposes of measuring same-store sales growth.</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new store closures. The number of stores permanently closed during the period minus the gross number of new stores opened during the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sales. Gross merchandise value of sales generated from both company owned and operated stores and franchised stores.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owned and operated store contribution (previously reported as adjusted store EBITDA). Calculated as fully burdened gross profit of company owned and operated stores excluding depreciation and amortization.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 cy="634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owned and operated store contribution margin (previously reported as adjusted store EBITDA margin). Calculated as company owned and operated store contribution as a percentage of revenues from company owned and operated stores.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general and administrative expenses. Calculated as general and administrative expenses excluding share-based compensation expenses, professional fees related to financing programs, and impairment losses of rental deposits.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corporate EBITDA. Calculated as operating loss excluding certain non-cash expenses consisting of depreciation and amortization, share-based compensation expenses, impairment losses of long-lived assets, loss on disposal of property and equipment, professional fees related to financing programs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impairment losses of rental deposits</w:t>
      </w:r>
      <w:r>
        <w:rPr>
          <w:rFonts w:ascii="Times New Roman" w:cs="Times New Roman" w:eastAsia="Times New Roman" w:hAnsi="Times New Roman"/>
          <w:sz w:val="18"/>
          <w:szCs w:val="18"/>
          <w:b w:val="1"/>
          <w:bCs w:val="1"/>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corporate EBITDA margin. Calculated as adjusted corporate EBITDA as a percentage of total revenues.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net loss. Calculated as net loss excluding share-based compensation expenses, impairment losses of long-lived assets, loss on disposal of property and equipment, professional fees related to financing programs,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mpairment losses of rental deposits, and changes in fair value of convertible notes.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margin. Calculated as adjusted net loss as a percentage of total revenues.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basic and diluted net loss per ordinary share. Calculated as adjusted net loss attributable to the Company’s ordinary shareholders divided by weighted-average number of basic and diluted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uses non-GAAP financial measures, namely company owned and operated store contribution, company owned and operated store contribution margin, adjusted general and administrative expenses, adjusted corporate EBITDA, adjusted corporate EBITDA margin, adjusted net loss, adjusted net loss margin, and adjusted basic and diluted net loss per ordinary share in evaluating its operating results and for financial and operational decision-making purposes. The Company defines (i) company owned and operated store contribution as fully burdened gross profit of company owned and operated stores excluding depreciation and amortization; (ii) company owned and operated store contribution margin as company owned and operated store contribution as a percentage of revenues from company owned and operated stores; (iii) adjusted general and administrative expenses as general and administrative expenses excluding share-based compensation expenses, professional fees related to financing programs, and impairment losses of rental deposits; (iv) adjusted corporate EBITDA as operating loss excluding certain non-cash expenses consisting of depreciation and amortization, share-based compensation expenses, impairment losses of long-lived assets, loss on disposal of property and equipment, professional fees related to financing programs, and impairment losses of rental deposits; (v) adjusted corporate EBITDA margin as adjusted corporate EBITDA as a percentage of total revenues; (vi) adjusted net loss as net loss excluding share-based compensation expenses, impairment losses of long-lived assets, loss on disposal of property and equipment, professional fees related to financing programs, impairment losses of rental deposits, and changes in fair value of convertible notes; (vii) adjusted net loss margin as adjusted net loss as a percentage of total revenues; and (viii) adjusted basic and diluted net loss per ordinary share as adjusted net loss attributable to the Company’s ordinary shareholders divided by weighted-average number of basic and diluted ordinary share. The Company believes company owned and operated store contribution, company owned and operated store contribution margin, adjusted general and administrative expenses, adjusted corporate EBITDA, adjusted corporate EBITDA margin, adjusted net loss, adjusted net loss margin, and adjusted basic and diluted net loss per ordinary share enhance investors’ overall understanding of its financial performance and allow for greater visibility with respect to key metrics used by its management in its financial and operational decision-making.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 cy="634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non-GAAP financial measures are not defined under U.S. GAAP and are not presented in accordance with U.S. GAAP. As these non-GAAP financial measures have limitations as analytical tools and may not be calculated in the same manner by all companies, they may not be comparable to other similarly titled measures used by other companies. The Company compensates for these limitations by reconciling the non-GAAP financial measures to the nearest U.S. GAAP performance measures, which should be considered when evaluating the Company’s performance. For reconciliation of these non-GAAP financial measures to the most directly comparable GAAP financial measures, please see the section of the accompanying tables titled, “Reconciliation of Non-GAAP Measures to the Most Directly Comparable GAAP Measures.” The Company encourages investors and others to review its financial information in its entirety and not rely on any single financial measure.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earnings release contains translations of certain RMB amounts into U.S. dollars (“USD”) at specified rates solely for the convenience of the reader. Unless otherwise stated, all translations from RMB to USD were made at the rate of RMB6.8980 to USD1.00, the exchange rate in effect on March 31, 2026 set forth in the H.10 statistical release of the Federal Reserve Board. The Company makes no representation that the RMB or USD amounts referred could be converted into USD or RMB, as the case may be, at any rate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today, on Tuesday, June 9, 2026, at 8:00 am Eastern Time (on Tuesday, June 9, 2026, at 8:00 pm Beijing Time) to discuss the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strongly encouraged to pre-register for the conference call, by using the weblink provided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https://register-conf.media-server.com/register/BI87efb84978714709b23f062bc05715df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also view the live webcast by registering through below weblink: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https://edge.media-server.com/mmc/p/h28sz2td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features a ’Submit Your Question’ tab at the top, where you will have the opportunity to submit your questions before and during the call.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https://ir.timschina.com under “Events and Presentations”.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 cy="634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earnings release may be considered forward-looking statements within the meaning of the “safe harbor” provisions of the United States Private Securities Litigation Reform Act of 1995, such as the Company’s ability to further grow its business and store network, optimize its cost structure, improve its operational efficiency, and achieve profitable growth. Forward-looking statements are statements that are not historical facts and generally relate to future events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20-F,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 INTERNATIONAL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 International Limited (Nasdaq: THCH) (“Tims China”) is the parent company of the exclusive master franchisees of Tim Hortons coffee shops in mainland China, Hong Kong and Macau.</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philosophy is rooted in world-class execution and data-driven decision making and centered around true local relevance, continuous innovation, genuine community, and absolute convenience. For more information, please visit https://www.timschina.com.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TIM HORTONS® BRAND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 HORTONS® brand and related trademarks is used by Tims China pursuant to a franchise agreement with Tim Hortons Restaurants International GmbH and its affiliates (collectively, the “Identified Persons”). The Identified Persons are entities entirely separate and distinct from Tims China and its subsidiaries (the “Group”). No Identified Persons exercises any control over the business, operations, finances or management of the Group, and no Identified Person is responsible for any obligations or liabilities of the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IR@timschina.com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and 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Patty Yu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Patty.Yu@timschina.com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 cy="634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 INTERNATIONAL LIMITED AND SUBSIDIARIES</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9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380" w:type="dxa"/>
            <w:vAlign w:val="bottom"/>
            <w:gridSpan w:val="2"/>
          </w:tcPr>
          <w:p>
            <w:pPr>
              <w:jc w:val="right"/>
              <w:ind w:right="221"/>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60" w:type="dxa"/>
            <w:vAlign w:val="bottom"/>
            <w:gridSpan w:val="3"/>
          </w:tcPr>
          <w:p>
            <w:pPr>
              <w:ind w:left="80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9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6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0" w:type="dxa"/>
            <w:vAlign w:val="bottom"/>
          </w:tcPr>
          <w:p>
            <w:pPr>
              <w:spacing w:after="0"/>
              <w:rPr>
                <w:sz w:val="21"/>
                <w:szCs w:val="21"/>
                <w:color w:val="auto"/>
              </w:rPr>
            </w:pP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RMB</w:t>
            </w:r>
          </w:p>
        </w:tc>
        <w:tc>
          <w:tcPr>
            <w:tcW w:w="16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194"/>
        </w:trPr>
        <w:tc>
          <w:tcPr>
            <w:tcW w:w="4920" w:type="dxa"/>
            <w:vAlign w:val="bottom"/>
            <w:vMerge w:val="continue"/>
          </w:tcPr>
          <w:p>
            <w:pPr>
              <w:spacing w:after="0"/>
              <w:rPr>
                <w:sz w:val="16"/>
                <w:szCs w:val="16"/>
                <w:color w:val="auto"/>
              </w:rPr>
            </w:pPr>
          </w:p>
        </w:tc>
        <w:tc>
          <w:tcPr>
            <w:tcW w:w="2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121,795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104,792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15,192</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7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7,916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6,615</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7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17,692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15,387</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36,793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33,272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4,823</w:t>
            </w:r>
          </w:p>
        </w:tc>
        <w:tc>
          <w:tcPr>
            <w:tcW w:w="0" w:type="dxa"/>
            <w:vAlign w:val="bottom"/>
          </w:tcPr>
          <w:p>
            <w:pPr>
              <w:spacing w:after="0"/>
              <w:rPr>
                <w:sz w:val="1"/>
                <w:szCs w:val="1"/>
                <w:color w:val="auto"/>
              </w:rPr>
            </w:pPr>
          </w:p>
        </w:tc>
      </w:tr>
      <w:tr>
        <w:trPr>
          <w:trHeight w:val="229"/>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142,235</w:t>
            </w:r>
          </w:p>
        </w:tc>
        <w:tc>
          <w:tcPr>
            <w:tcW w:w="240" w:type="dxa"/>
            <w:vAlign w:val="bottom"/>
          </w:tcPr>
          <w:p>
            <w:pPr>
              <w:spacing w:after="0"/>
              <w:rPr>
                <w:sz w:val="19"/>
                <w:szCs w:val="19"/>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124,398</w:t>
            </w:r>
          </w:p>
        </w:tc>
        <w:tc>
          <w:tcPr>
            <w:tcW w:w="340" w:type="dxa"/>
            <w:vAlign w:val="bottom"/>
          </w:tcPr>
          <w:p>
            <w:pPr>
              <w:spacing w:after="0"/>
              <w:rPr>
                <w:sz w:val="19"/>
                <w:szCs w:val="19"/>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18,034</w:t>
            </w:r>
          </w:p>
        </w:tc>
        <w:tc>
          <w:tcPr>
            <w:tcW w:w="0" w:type="dxa"/>
            <w:vAlign w:val="bottom"/>
          </w:tcPr>
          <w:p>
            <w:pPr>
              <w:spacing w:after="0"/>
              <w:rPr>
                <w:sz w:val="1"/>
                <w:szCs w:val="1"/>
                <w:color w:val="auto"/>
              </w:rPr>
            </w:pPr>
          </w:p>
        </w:tc>
      </w:tr>
      <w:tr>
        <w:trPr>
          <w:trHeight w:val="27"/>
        </w:trPr>
        <w:tc>
          <w:tcPr>
            <w:tcW w:w="49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vMerge w:val="continue"/>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326,626</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284,659</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41,267</w:t>
            </w:r>
          </w:p>
        </w:tc>
        <w:tc>
          <w:tcPr>
            <w:tcW w:w="0" w:type="dxa"/>
            <w:vAlign w:val="bottom"/>
          </w:tcPr>
          <w:p>
            <w:pPr>
              <w:spacing w:after="0"/>
              <w:rPr>
                <w:sz w:val="1"/>
                <w:szCs w:val="1"/>
                <w:color w:val="auto"/>
              </w:rPr>
            </w:pPr>
          </w:p>
        </w:tc>
      </w:tr>
      <w:tr>
        <w:trPr>
          <w:trHeight w:val="21"/>
        </w:trPr>
        <w:tc>
          <w:tcPr>
            <w:tcW w:w="49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7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332,070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308,650</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44,745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81,014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76,676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11,116</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7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348,916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289,635</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41,988</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88,051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97,760</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14,172</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40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850,051</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772,721</w:t>
            </w:r>
          </w:p>
        </w:tc>
        <w:tc>
          <w:tcPr>
            <w:tcW w:w="2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112,021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1,176,677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1,057,380</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153,288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borrowings, current</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395,088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413,263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59,911</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7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199,152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188,173</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27,279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37,197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33,189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4,811</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37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17,414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32,697</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4,740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180,806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173,721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25,184</w:t>
            </w:r>
          </w:p>
        </w:tc>
        <w:tc>
          <w:tcPr>
            <w:tcW w:w="0" w:type="dxa"/>
            <w:vAlign w:val="bottom"/>
          </w:tcPr>
          <w:p>
            <w:pPr>
              <w:spacing w:after="0"/>
              <w:rPr>
                <w:sz w:val="1"/>
                <w:szCs w:val="1"/>
                <w:color w:val="auto"/>
              </w:rPr>
            </w:pPr>
          </w:p>
        </w:tc>
      </w:tr>
      <w:tr>
        <w:trPr>
          <w:trHeight w:val="23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7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172,605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166,205</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24,095</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1,002,262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1,007,248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at fair value</w:t>
            </w:r>
          </w:p>
        </w:tc>
        <w:tc>
          <w:tcPr>
            <w:tcW w:w="37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1,152,723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1,167,303</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169,223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10,133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9,437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240,282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192,048</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27,841</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7,712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7,181</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40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1,410,850</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1,375,969</w:t>
            </w:r>
          </w:p>
        </w:tc>
        <w:tc>
          <w:tcPr>
            <w:tcW w:w="2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199,474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2,413,112</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2,383,217</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345,494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37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1,821,605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1,823,408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264,339</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losses</w:t>
            </w:r>
          </w:p>
        </w:tc>
        <w:tc>
          <w:tcPr>
            <w:tcW w:w="37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(3,102,994)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(3,212,890)</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(465,771)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38,393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56,463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8,185</w:t>
            </w:r>
          </w:p>
        </w:tc>
        <w:tc>
          <w:tcPr>
            <w:tcW w:w="0" w:type="dxa"/>
            <w:vAlign w:val="bottom"/>
          </w:tcPr>
          <w:p>
            <w:pPr>
              <w:spacing w:after="0"/>
              <w:rPr>
                <w:sz w:val="1"/>
                <w:szCs w:val="1"/>
                <w:color w:val="auto"/>
              </w:rPr>
            </w:pPr>
          </w:p>
        </w:tc>
      </w:tr>
      <w:tr>
        <w:trPr>
          <w:trHeight w:val="23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shares</w:t>
            </w:r>
          </w:p>
        </w:tc>
        <w:tc>
          <w:tcPr>
            <w:tcW w:w="37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deficit attributable to shareholders of the Company</w:t>
            </w:r>
          </w:p>
        </w:tc>
        <w:tc>
          <w:tcPr>
            <w:tcW w:w="24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(1,242,986)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(1,333,009)</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7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6,551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7,172</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(1,236,435</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(1,325,837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(192,206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37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1,176,677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1,057,380</w:t>
            </w:r>
          </w:p>
        </w:tc>
        <w:tc>
          <w:tcPr>
            <w:tcW w:w="3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153,288</w:t>
            </w:r>
          </w:p>
        </w:tc>
        <w:tc>
          <w:tcPr>
            <w:tcW w:w="0" w:type="dxa"/>
            <w:vAlign w:val="bottom"/>
          </w:tcPr>
          <w:p>
            <w:pPr>
              <w:spacing w:after="0"/>
              <w:rPr>
                <w:sz w:val="1"/>
                <w:szCs w:val="1"/>
                <w:color w:val="auto"/>
              </w:rPr>
            </w:pPr>
          </w:p>
        </w:tc>
      </w:tr>
      <w:tr>
        <w:trPr>
          <w:trHeight w:val="21"/>
        </w:trPr>
        <w:tc>
          <w:tcPr>
            <w:tcW w:w="49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46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 cy="634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 INTERNATIONAL LIMITED AND SUBSIDIARIES UNAUDITED CONDENSED CONSOLIDATED STATEMENTS OF OPERATIONS AND COMPREHENSIVE (Amounts in thousands of RMB and US$, except for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7"/>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RMB</w:t>
            </w:r>
          </w:p>
        </w:tc>
        <w:tc>
          <w:tcPr>
            <w:tcW w:w="15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9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owned and operated stores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254,759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207,216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30,040</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45,983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49,525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7,180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300,742</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256,741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 net: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Company owned and operated stores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packaging</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77,472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58,932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8,543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Rental and property management fee</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56,295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47,199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6,842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50,020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44,818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6,497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Delivery costs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27,041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27,323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3,962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18,018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Store depreciation and amortization</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28,358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21,586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 owned and operated store costs and expenses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257,204</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218,038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other revenues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31,526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33,048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4,791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17,429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9,809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51,810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48,044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6,966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Franchise and royalty expenses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13,896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 and expenses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1,115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2,733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of long-lived assets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11,618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1,286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 net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386,045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329,016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(85,303)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(72,275)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(3,576)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(3,954)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 gain/(loss)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380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convertible notes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29,458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(32,602)</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(58,941)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(109,275)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(58,941</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(109,275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(15,842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393" w:gutter="0" w:footer="0" w:header="0"/>
        </w:sectPr>
      </w:pPr>
    </w:p>
    <w:p>
      <w:pPr>
        <w:ind w:right="2020"/>
        <w:spacing w:after="0" w:line="255" w:lineRule="auto"/>
        <w:rPr>
          <w:sz w:val="20"/>
          <w:szCs w:val="20"/>
          <w:color w:val="auto"/>
        </w:rPr>
      </w:pPr>
      <w:r>
        <w:rPr>
          <w:rFonts w:ascii="Times New Roman" w:cs="Times New Roman" w:eastAsia="Times New Roman" w:hAnsi="Times New Roman"/>
          <w:sz w:val="18"/>
          <w:szCs w:val="18"/>
          <w:color w:val="auto"/>
        </w:rPr>
        <w:t>Less: Net (loss)/income attributable to non-controlling interests Net loss attributable to shareholders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Basic and diluted loss per Ordinary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380" w:type="dxa"/>
            <w:vAlign w:val="bottom"/>
            <w:gridSpan w:val="2"/>
          </w:tcPr>
          <w:p>
            <w:pPr>
              <w:jc w:val="right"/>
              <w:ind w:right="101"/>
              <w:spacing w:after="0" w:line="198" w:lineRule="exact"/>
              <w:rPr>
                <w:sz w:val="20"/>
                <w:szCs w:val="20"/>
                <w:color w:val="auto"/>
              </w:rPr>
            </w:pPr>
            <w:r>
              <w:rPr>
                <w:rFonts w:ascii="Times New Roman" w:cs="Times New Roman" w:eastAsia="Times New Roman" w:hAnsi="Times New Roman"/>
                <w:sz w:val="18"/>
                <w:szCs w:val="18"/>
                <w:color w:val="auto"/>
              </w:rPr>
              <w:t>(920)</w:t>
            </w:r>
          </w:p>
        </w:tc>
        <w:tc>
          <w:tcPr>
            <w:tcW w:w="1320" w:type="dxa"/>
            <w:vAlign w:val="bottom"/>
            <w:gridSpan w:val="2"/>
          </w:tcPr>
          <w:p>
            <w:pPr>
              <w:jc w:val="right"/>
              <w:ind w:right="141"/>
              <w:spacing w:after="0" w:line="198" w:lineRule="exact"/>
              <w:rPr>
                <w:sz w:val="20"/>
                <w:szCs w:val="20"/>
                <w:color w:val="auto"/>
              </w:rPr>
            </w:pPr>
            <w:r>
              <w:rPr>
                <w:rFonts w:ascii="Times New Roman" w:cs="Times New Roman" w:eastAsia="Times New Roman" w:hAnsi="Times New Roman"/>
                <w:sz w:val="18"/>
                <w:szCs w:val="18"/>
                <w:color w:val="auto"/>
              </w:rPr>
              <w:t>621</w:t>
            </w: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17"/>
                <w:szCs w:val="17"/>
                <w:color w:val="auto"/>
              </w:rPr>
            </w:pPr>
          </w:p>
        </w:tc>
      </w:tr>
      <w:tr>
        <w:trPr>
          <w:trHeight w:val="255"/>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(58,021)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(109,896)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(15,932)</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6600" w:space="720"/>
            <w:col w:w="3920"/>
          </w:cols>
          <w:pgMar w:left="320" w:top="1440" w:right="339" w:bottom="393"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(58,941)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(109,275)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(15,842)</w:t>
            </w: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of convertible notes due to instrument-specific credit risk, net of nil income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430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income taxes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817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18,070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2,620</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(57,694)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(91,205)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(13,222)</w:t>
            </w: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(loss)/income attributable to non-controlling interests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(920)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621</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shareholders of the Company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(56,774</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642"/>
        </w:trPr>
        <w:tc>
          <w:tcPr>
            <w:tcW w:w="73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393"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 cy="634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TH INTERNATIONAL LIMITED AND SUBSIDIARIES UNAUDITED CONDENSED CONSOLIDATED STATEMENTS OF CASH FLOWS (Amounts in thousands of RMB and 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92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RMB</w:t>
            </w:r>
          </w:p>
        </w:tc>
        <w:tc>
          <w:tcPr>
            <w:tcW w:w="15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(16,658)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(11,472)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44,213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3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(1,709)</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19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the period</w:t>
            </w:r>
          </w:p>
        </w:tc>
        <w:tc>
          <w:tcPr>
            <w:tcW w:w="19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184,237</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129,711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18,804</w:t>
            </w:r>
          </w:p>
        </w:tc>
        <w:tc>
          <w:tcPr>
            <w:tcW w:w="0" w:type="dxa"/>
            <w:vAlign w:val="bottom"/>
          </w:tcPr>
          <w:p>
            <w:pPr>
              <w:spacing w:after="0"/>
              <w:rPr>
                <w:sz w:val="1"/>
                <w:szCs w:val="1"/>
                <w:color w:val="auto"/>
              </w:rPr>
            </w:pPr>
          </w:p>
        </w:tc>
      </w:tr>
      <w:tr>
        <w:trPr>
          <w:trHeight w:val="27"/>
        </w:trPr>
        <w:tc>
          <w:tcPr>
            <w:tcW w:w="5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the period</w:t>
            </w:r>
          </w:p>
        </w:tc>
        <w:tc>
          <w:tcPr>
            <w:tcW w:w="19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vMerge w:val="continue"/>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211,436</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111,407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16,151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 cy="634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 INTERNATIONAL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of RMB and US$,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Company owned and operated store contribution</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7"/>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Revenues -</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Revenues -</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6"/>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company</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company</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7"/>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owned and</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owned and</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6"/>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operated</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operated</w:t>
            </w: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1"/>
                <w:szCs w:val="21"/>
                <w:color w:val="auto"/>
              </w:rPr>
            </w:pPr>
          </w:p>
        </w:tc>
        <w:tc>
          <w:tcPr>
            <w:tcW w:w="1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8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7"/>
              </w:rPr>
              <w:t>stores</w:t>
            </w:r>
          </w:p>
        </w:tc>
        <w:tc>
          <w:tcPr>
            <w:tcW w:w="9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60" w:type="dxa"/>
            <w:vAlign w:val="bottom"/>
          </w:tcPr>
          <w:p>
            <w:pPr>
              <w:spacing w:after="0"/>
              <w:rPr>
                <w:sz w:val="21"/>
                <w:szCs w:val="21"/>
                <w:color w:val="auto"/>
              </w:rPr>
            </w:pPr>
          </w:p>
        </w:tc>
        <w:tc>
          <w:tcPr>
            <w:tcW w:w="10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80" w:type="dxa"/>
            <w:vAlign w:val="bottom"/>
          </w:tcPr>
          <w:p>
            <w:pPr>
              <w:spacing w:after="0"/>
              <w:rPr>
                <w:sz w:val="21"/>
                <w:szCs w:val="21"/>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stores</w:t>
            </w:r>
          </w:p>
        </w:tc>
        <w:tc>
          <w:tcPr>
            <w:tcW w:w="0" w:type="dxa"/>
            <w:vAlign w:val="bottom"/>
          </w:tcPr>
          <w:p>
            <w:pPr>
              <w:spacing w:after="0"/>
              <w:rPr>
                <w:sz w:val="1"/>
                <w:szCs w:val="1"/>
                <w:color w:val="auto"/>
              </w:rPr>
            </w:pPr>
          </w:p>
        </w:tc>
      </w:tr>
      <w:tr>
        <w:trPr>
          <w:trHeight w:val="216"/>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company owned and operated stores</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254,759</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207,216</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Food and packaging costs - company owned and operated stores</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(77,472)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(58,932)</w:t>
            </w:r>
          </w:p>
        </w:tc>
        <w:tc>
          <w:tcPr>
            <w:tcW w:w="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(8,543)</w:t>
            </w:r>
          </w:p>
        </w:tc>
        <w:tc>
          <w:tcPr>
            <w:tcW w:w="1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expenses - company owned and operated stores</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(47,199)</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(6,842)</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Payroll and employee benefits - company owned and operated stores</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(50,020)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(44,818)</w:t>
            </w:r>
          </w:p>
        </w:tc>
        <w:tc>
          <w:tcPr>
            <w:tcW w:w="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(6,497)</w:t>
            </w:r>
          </w:p>
        </w:tc>
        <w:tc>
          <w:tcPr>
            <w:tcW w:w="1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costs - company owned and operated stores</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(27,041)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(27,323)</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(3,962)</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 company owned and operated stores</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(18,018)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(18,180)</w:t>
            </w:r>
          </w:p>
        </w:tc>
        <w:tc>
          <w:tcPr>
            <w:tcW w:w="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(2,636)</w:t>
            </w:r>
          </w:p>
        </w:tc>
        <w:tc>
          <w:tcPr>
            <w:tcW w:w="1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depreciation and amortization</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(28,358)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(21,586)</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(3,129)</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Franchise and royalty expenses - company owned and operated stores</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(8,759)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(7,034)</w:t>
            </w:r>
          </w:p>
        </w:tc>
        <w:tc>
          <w:tcPr>
            <w:tcW w:w="6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4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Fully-burdened gross (loss) profit - company owned and operated</w:t>
            </w:r>
          </w:p>
        </w:tc>
        <w:tc>
          <w:tcPr>
            <w:tcW w:w="3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stores</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(11,204)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(4.4)</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(17,856)</w:t>
            </w:r>
          </w:p>
        </w:tc>
        <w:tc>
          <w:tcPr>
            <w:tcW w:w="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(2,589)</w:t>
            </w:r>
          </w:p>
        </w:tc>
        <w:tc>
          <w:tcPr>
            <w:tcW w:w="1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Store depreciation and amortization</w:t>
            </w: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28,358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21,586</w:t>
            </w:r>
          </w:p>
        </w:tc>
        <w:tc>
          <w:tcPr>
            <w:tcW w:w="6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3,129</w:t>
            </w:r>
          </w:p>
        </w:tc>
        <w:tc>
          <w:tcPr>
            <w:tcW w:w="140" w:type="dxa"/>
            <w:vAlign w:val="bottom"/>
          </w:tcPr>
          <w:p>
            <w:pPr>
              <w:spacing w:after="0"/>
              <w:rPr>
                <w:sz w:val="20"/>
                <w:szCs w:val="20"/>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owned and operated store contribution</w:t>
            </w: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17,154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3,730</w:t>
            </w:r>
          </w:p>
        </w:tc>
        <w:tc>
          <w:tcPr>
            <w:tcW w:w="6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540</w:t>
            </w:r>
          </w:p>
        </w:tc>
        <w:tc>
          <w:tcPr>
            <w:tcW w:w="1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 owned and operated store contribution margin</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w:t>
            </w:r>
          </w:p>
        </w:tc>
        <w:tc>
          <w:tcPr>
            <w:tcW w:w="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365"/>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 Adjusted general and administrative expenses</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1"/>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Borders>
              <w:bottom w:val="single" w:sz="8" w:color="auto"/>
            </w:tcBorders>
            <w:gridSpan w:val="6"/>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tcPr>
          <w:p>
            <w:pPr>
              <w:jc w:val="right"/>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6"/>
              </w:rPr>
              <w:t>% of Total</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4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RMB</w:t>
            </w: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RMB</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1,516</w:t>
            </w:r>
          </w:p>
        </w:tc>
        <w:tc>
          <w:tcPr>
            <w:tcW w:w="11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w:t>
            </w: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related to financing programs</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of rental deposits</w:t>
            </w:r>
          </w:p>
        </w:tc>
        <w:tc>
          <w:tcPr>
            <w:tcW w:w="3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w:t>
            </w: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General and administrative expenses</w:t>
            </w:r>
          </w:p>
        </w:tc>
        <w:tc>
          <w:tcPr>
            <w:tcW w:w="340" w:type="dxa"/>
            <w:vAlign w:val="bottom"/>
            <w:tcBorders>
              <w:top w:val="single" w:sz="8" w:color="CCEEFF"/>
            </w:tcBorders>
            <w:vMerge w:val="restart"/>
          </w:tcPr>
          <w:p>
            <w:pPr>
              <w:spacing w:after="0" w:line="20" w:lineRule="exact"/>
              <w:rPr>
                <w:sz w:val="1"/>
                <w:szCs w:val="1"/>
                <w:color w:val="auto"/>
              </w:rPr>
            </w:pPr>
          </w:p>
        </w:tc>
        <w:tc>
          <w:tcPr>
            <w:tcW w:w="920" w:type="dxa"/>
            <w:vAlign w:val="bottom"/>
            <w:tcBorders>
              <w:top w:val="single" w:sz="8" w:color="auto"/>
            </w:tcBorders>
            <w:gridSpan w:val="3"/>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900" w:type="dxa"/>
            <w:vAlign w:val="bottom"/>
            <w:tcBorders>
              <w:top w:val="single" w:sz="8" w:color="auto"/>
            </w:tcBorders>
            <w:gridSpan w:val="3"/>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gridSpan w:val="2"/>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90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4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(47,166)</w:t>
            </w:r>
          </w:p>
        </w:tc>
        <w:tc>
          <w:tcPr>
            <w:tcW w:w="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(43,435)</w:t>
            </w:r>
          </w:p>
        </w:tc>
        <w:tc>
          <w:tcPr>
            <w:tcW w:w="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(6,298)</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(16.9)</w:t>
            </w:r>
          </w:p>
        </w:tc>
        <w:tc>
          <w:tcPr>
            <w:tcW w:w="0" w:type="dxa"/>
            <w:vAlign w:val="bottom"/>
          </w:tcPr>
          <w:p>
            <w:pPr>
              <w:spacing w:after="0"/>
              <w:rPr>
                <w:sz w:val="1"/>
                <w:szCs w:val="1"/>
                <w:color w:val="auto"/>
              </w:rPr>
            </w:pPr>
          </w:p>
        </w:tc>
      </w:tr>
      <w:tr>
        <w:trPr>
          <w:trHeight w:val="633"/>
        </w:trPr>
        <w:tc>
          <w:tcPr>
            <w:tcW w:w="5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 cy="634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 Adjusted corporate EBITDA and adjusted corporate EBITDA margin</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62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 </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6"/>
              </w:rPr>
              <w:t>% of 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37,013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expensesv</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of rental deposits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related to financing programs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of long-lived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11,618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Corporate EBITDA</w:t>
            </w:r>
          </w:p>
        </w:tc>
        <w:tc>
          <w:tcPr>
            <w:tcW w:w="11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(29,295)</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(30,125)</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(4,368)</w:t>
            </w:r>
          </w:p>
        </w:tc>
        <w:tc>
          <w:tcPr>
            <w:tcW w:w="22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(11.8)</w:t>
            </w: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Adjusted net loss and adjusted net loss margin</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62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 </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6"/>
              </w:rPr>
              <w:t>% of 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related to financing programs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of long-lived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11,618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 of rental deposits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convertible notes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(29,458)</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11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(69,404)</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(65,565)</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(9,506)</w:t>
            </w:r>
          </w:p>
        </w:tc>
        <w:tc>
          <w:tcPr>
            <w:tcW w:w="22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(25.6)</w:t>
            </w: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 Adjusted basic and diluted net loss per Ordinary Share</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6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Unadjusted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Unadjusted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and Adjusted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 Adjusted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Basic and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Basic 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diluted loss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diluted loss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per Ordinary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 Ordinary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45"/>
        </w:trPr>
        <w:tc>
          <w:tcPr>
            <w:tcW w:w="46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shareholders of the Company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related to financing programs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of long-lived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11,618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 of rental deposits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convertible notes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(29,458)</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80"/>
        </w:trPr>
        <w:tc>
          <w:tcPr>
            <w:tcW w:w="46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Adjusted Net loss attributable to shareholders of the</w:t>
            </w: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(68,484)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(66,186)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(9,596)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(0.30)</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used in calculating basic</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 loss per share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32,540,189</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32,519,377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32,519,377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basic and diluted net loss per Ordinary Share</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(0.30)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87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2026-06-10T05:22:26Z</dcterms:created>
  <dcterms:modified xsi:type="dcterms:W3CDTF">2026-06-10T05:22:26Z</dcterms:modified>
</cp:coreProperties>
</file>