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97" w:lineRule="exact"/>
        <w:rPr>
          <w:sz w:val="24"/>
          <w:szCs w:val="24"/>
          <w:color w:val="auto"/>
        </w:rPr>
      </w:pPr>
    </w:p>
    <w:p>
      <w:pPr>
        <w:ind w:left="7040"/>
        <w:spacing w:after="0"/>
        <w:rPr>
          <w:sz w:val="20"/>
          <w:szCs w:val="20"/>
          <w:color w:val="auto"/>
        </w:rPr>
      </w:pPr>
      <w:r>
        <w:rPr>
          <w:rFonts w:ascii="Times New Roman" w:cs="Times New Roman" w:eastAsia="Times New Roman" w:hAnsi="Times New Roman"/>
          <w:sz w:val="17"/>
          <w:szCs w:val="17"/>
          <w:b w:val="1"/>
          <w:bCs w:val="1"/>
          <w:color w:val="auto"/>
        </w:rPr>
        <w:t> Filed Pursuant to Rule 424(b)(3)</w:t>
      </w:r>
    </w:p>
    <w:p>
      <w:pPr>
        <w:spacing w:after="0" w:line="43" w:lineRule="exact"/>
        <w:rPr>
          <w:sz w:val="24"/>
          <w:szCs w:val="24"/>
          <w:color w:val="auto"/>
        </w:rPr>
      </w:pPr>
    </w:p>
    <w:p>
      <w:pPr>
        <w:ind w:left="7380"/>
        <w:spacing w:after="0"/>
        <w:rPr>
          <w:sz w:val="20"/>
          <w:szCs w:val="20"/>
          <w:color w:val="auto"/>
        </w:rPr>
      </w:pPr>
      <w:r>
        <w:rPr>
          <w:rFonts w:ascii="Times New Roman" w:cs="Times New Roman" w:eastAsia="Times New Roman" w:hAnsi="Times New Roman"/>
          <w:sz w:val="17"/>
          <w:szCs w:val="17"/>
          <w:b w:val="1"/>
          <w:bCs w:val="1"/>
          <w:color w:val="auto"/>
        </w:rPr>
        <w:t> Registration No. 333-267864​</w:t>
      </w:r>
    </w:p>
    <w:p>
      <w:pPr>
        <w:spacing w:after="0" w:line="21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 prospectus dated December 23, 2022)</w:t>
      </w:r>
    </w:p>
    <w:p>
      <w:pPr>
        <w:spacing w:after="0" w:line="19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Up to 22,900,000 Ordinary Shares issuable upon the exercise</w:t>
      </w:r>
    </w:p>
    <w:p>
      <w:pPr>
        <w:spacing w:after="0" w:line="2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of warrants</w:t>
      </w:r>
    </w:p>
    <w:p>
      <w:pPr>
        <w:jc w:val="center"/>
        <w:ind w:left="1740" w:right="1040"/>
        <w:spacing w:after="0" w:line="247" w:lineRule="auto"/>
        <w:rPr>
          <w:sz w:val="20"/>
          <w:szCs w:val="20"/>
          <w:color w:val="auto"/>
        </w:rPr>
      </w:pPr>
      <w:r>
        <w:rPr>
          <w:rFonts w:ascii="Times New Roman" w:cs="Times New Roman" w:eastAsia="Times New Roman" w:hAnsi="Times New Roman"/>
          <w:sz w:val="25"/>
          <w:szCs w:val="25"/>
          <w:b w:val="1"/>
          <w:bCs w:val="1"/>
          <w:color w:val="auto"/>
        </w:rPr>
        <w:t>Up to 62,151,365 Ordinary Shares and 5,650,000 Warrants to purchase Ordinary Shares offered by Selling Securityholders of</w:t>
      </w:r>
    </w:p>
    <w:p>
      <w:pPr>
        <w:spacing w:after="0" w:line="14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9"/>
          <w:szCs w:val="29"/>
          <w:b w:val="1"/>
          <w:bCs w:val="1"/>
          <w:color w:val="auto"/>
        </w:rPr>
        <w:t>TH International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241300</wp:posOffset>
            </wp:positionV>
            <wp:extent cx="1234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December 23, 2022 (as supplemented or amended from time to time, the “Prospectus”), which forms a part of our Registration Statement on Form F-1 (Registration No. 333-267864), with the information contained in the Current Report on Form 6-K furnished to the U.S. Securities and Exchange Commission (“SEC”) on April 6, 2023, which is set forth below.</w:t>
      </w:r>
    </w:p>
    <w:p>
      <w:pPr>
        <w:spacing w:after="0" w:line="335" w:lineRule="exact"/>
        <w:rPr>
          <w:sz w:val="24"/>
          <w:szCs w:val="24"/>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w:t>
      </w:r>
    </w:p>
    <w:p>
      <w:pPr>
        <w:spacing w:after="0" w:line="112" w:lineRule="exact"/>
        <w:rPr>
          <w:sz w:val="24"/>
          <w:szCs w:val="24"/>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Our ordinary shares and warrants are listed on the Nasdaq Stock Market LLC (“Nasdaq”) under the trading symbols “THCH” and “THCHW,” respectively. On April 5, 2023, the closing price of our ordinary shares on Nasdaq was $3.76 per share, and the closing price of our warrants on Nasdaq was $0.45 per warrant.</w:t>
      </w:r>
    </w:p>
    <w:p>
      <w:pPr>
        <w:spacing w:after="0" w:line="315" w:lineRule="exact"/>
        <w:rPr>
          <w:sz w:val="24"/>
          <w:szCs w:val="24"/>
          <w:color w:val="auto"/>
        </w:rPr>
      </w:pPr>
    </w:p>
    <w:p>
      <w:pPr>
        <w:ind w:left="1260" w:right="5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or passed upon the accuracy or adequacy of the Prospectus or this prospectus supplement. Any representation to the contrary is a criminal offense.</w:t>
      </w:r>
    </w:p>
    <w:p>
      <w:pPr>
        <w:spacing w:after="0" w:line="103" w:lineRule="exact"/>
        <w:rPr>
          <w:sz w:val="24"/>
          <w:szCs w:val="24"/>
          <w:color w:val="auto"/>
        </w:rPr>
      </w:pPr>
    </w:p>
    <w:p>
      <w:pPr>
        <w:ind w:left="1260" w:right="5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buying any of our securities, you should carefully read the discussion of material risks of investing in such securities under “Risk Factors” beginning on page 39 of the Prospectus.</w:t>
      </w:r>
    </w:p>
    <w:p>
      <w:pPr>
        <w:sectPr>
          <w:pgSz w:w="11900" w:h="16838" w:orient="portrait"/>
          <w:cols w:equalWidth="0" w:num="1">
            <w:col w:w="9879"/>
          </w:cols>
          <w:pgMar w:left="580" w:top="20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The date of this prospectus supplement is April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53340</wp:posOffset>
            </wp:positionV>
            <wp:extent cx="5212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8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8"/>
          <w:szCs w:val="2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253365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241300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the month of April 2023</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Commission File Number: 001-41516</w:t>
      </w:r>
    </w:p>
    <w:p>
      <w:pPr>
        <w:spacing w:after="0" w:line="20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9"/>
          <w:szCs w:val="29"/>
          <w:b w:val="1"/>
          <w:bCs w:val="1"/>
          <w:color w:val="auto"/>
        </w:rPr>
        <w:t>TH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241300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2501 Central Plaza</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227 Huangpi North Road</w:t>
      </w:r>
    </w:p>
    <w:p>
      <w:pPr>
        <w:spacing w:after="0" w:line="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 200003</w:t>
      </w:r>
    </w:p>
    <w:p>
      <w:pPr>
        <w:spacing w:after="0" w:line="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+86-021-6136-6616</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439" w:firstLine="36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11" w:lineRule="exact"/>
        <w:rPr>
          <w:sz w:val="20"/>
          <w:szCs w:val="20"/>
          <w:color w:val="auto"/>
        </w:rPr>
      </w:pPr>
    </w:p>
    <w:p>
      <w:pPr>
        <w:ind w:left="1260" w:right="1319" w:firstLine="36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98" w:lineRule="exact"/>
        <w:rPr>
          <w:sz w:val="20"/>
          <w:szCs w:val="20"/>
          <w:color w:val="auto"/>
        </w:rPr>
      </w:pPr>
    </w:p>
    <w:p>
      <w:pPr>
        <w:ind w:left="1260" w:right="1319" w:firstLine="36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116840</wp:posOffset>
            </wp:positionV>
            <wp:extent cx="5212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2141220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580" w:type="dxa"/>
            <w:vAlign w:val="bottom"/>
            <w:gridSpan w:val="2"/>
          </w:tcPr>
          <w:p>
            <w:pPr>
              <w:spacing w:after="0" w:line="213" w:lineRule="exact"/>
              <w:rPr>
                <w:sz w:val="20"/>
                <w:szCs w:val="20"/>
                <w:color w:val="auto"/>
              </w:rPr>
            </w:pPr>
            <w:r>
              <w:rPr>
                <w:rFonts w:ascii="Times New Roman" w:cs="Times New Roman" w:eastAsia="Times New Roman" w:hAnsi="Times New Roman"/>
                <w:sz w:val="13"/>
                <w:szCs w:val="13"/>
                <w:b w:val="1"/>
                <w:bCs w:val="1"/>
                <w:color w:val="auto"/>
              </w:rPr>
              <w:t>Number</w:t>
            </w:r>
            <w:r>
              <w:rPr>
                <w:rFonts w:ascii="Times New Roman" w:cs="Times New Roman" w:eastAsia="Times New Roman" w:hAnsi="Times New Roman"/>
                <w:sz w:val="24"/>
                <w:szCs w:val="24"/>
                <w:b w:val="1"/>
                <w:bCs w:val="1"/>
                <w:color w:val="auto"/>
                <w:vertAlign w:val="subscript"/>
              </w:rPr>
              <w:t>​</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Press Release.</w:t>
            </w:r>
          </w:p>
        </w:tc>
        <w:tc>
          <w:tcPr>
            <w:tcW w:w="640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7505065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40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6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 ​ TH International Limited</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Date: April 6, 2023</w:t>
            </w:r>
          </w:p>
        </w:tc>
        <w:tc>
          <w:tcPr>
            <w:tcW w:w="14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 Yongchen Lu</w:t>
            </w:r>
          </w:p>
        </w:tc>
        <w:tc>
          <w:tcPr>
            <w:tcW w:w="60" w:type="dxa"/>
            <w:vAlign w:val="bottom"/>
          </w:tcPr>
          <w:p>
            <w:pPr>
              <w:spacing w:after="0"/>
              <w:rPr>
                <w:sz w:val="21"/>
                <w:szCs w:val="21"/>
                <w:color w:val="auto"/>
              </w:rPr>
            </w:pPr>
          </w:p>
        </w:tc>
      </w:tr>
      <w:tr>
        <w:trPr>
          <w:trHeight w:val="41"/>
        </w:trPr>
        <w:tc>
          <w:tcPr>
            <w:tcW w:w="27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32"/>
        </w:trPr>
        <w:tc>
          <w:tcPr>
            <w:tcW w:w="2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Yongchen Lu</w:t>
            </w:r>
          </w:p>
        </w:tc>
        <w:tc>
          <w:tcPr>
            <w:tcW w:w="60" w:type="dxa"/>
            <w:vAlign w:val="bottom"/>
          </w:tcPr>
          <w:p>
            <w:pPr>
              <w:spacing w:after="0"/>
              <w:rPr>
                <w:sz w:val="20"/>
                <w:szCs w:val="20"/>
                <w:color w:val="auto"/>
              </w:rPr>
            </w:pPr>
          </w:p>
        </w:tc>
      </w:tr>
      <w:tr>
        <w:trPr>
          <w:trHeight w:val="234"/>
        </w:trPr>
        <w:tc>
          <w:tcPr>
            <w:tcW w:w="2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6588125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745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Tims China Announces Fourth Quarter and Full Year 2022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Total Revenues Increased 34.6% Year-over-Year for the Fourth Quarter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57.2% Year-over-Year for the Full Year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131 Net New Store Openings During the Fourth Quarter,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617 System-Wide Stores at Year-End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11.3 Million Registered Loyalty Club Members at Year-End,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Representing 88.5% Year-over-Year Growth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Adjusted Store EBITDA Margin Increased 0.6 Percentage Points to 4.7%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Continued Recovery: 17.1% Same-store Sales Growth for Company Owned and Operated Stores in February 2023</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and NEW YORK, April 6, 2023 (GLOBE NEWSWIRE) -- TH International Limited (Nasdaq: THCH), the exclusive operator of Tim Hortons coffee shops in China (“Tims China” or the “Company”) today announced its unaudited financial results for the fourth quarter and full year ended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2022 HIGHLIGHTS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RMB301.5 million (USD43.7 million), representing a 34.6% increase from the same quarter of 2021.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totaled 131 (93 company owned and operated stores and 38 franchised stores).</w:t>
      </w:r>
    </w:p>
    <w:p>
      <w:pPr>
        <w:spacing w:after="0" w:line="2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Adjusted store EBITDA</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RMB12.8 million (USD1.9 million), representing a 45.7% increase from the same quarter of 2021.</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line="229"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Adjusted store EBITDA margin</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4.7%, representing an increase of 0.6 percentage points from the same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6" w:lineRule="exact"/>
        <w:rPr>
          <w:sz w:val="20"/>
          <w:szCs w:val="20"/>
          <w:color w:val="auto"/>
        </w:rPr>
      </w:pPr>
    </w:p>
    <w:p>
      <w:pPr>
        <w:ind w:right="180" w:firstLine="8"/>
        <w:spacing w:after="0" w:line="211" w:lineRule="auto"/>
        <w:tabs>
          <w:tab w:leader="none" w:pos="11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store EBITDA is calculated as fully-burdened gross profit</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company owned and operated stores excluding depreciation &amp; amortization and store pre-opening expenses.</w:t>
      </w:r>
    </w:p>
    <w:p>
      <w:pPr>
        <w:spacing w:after="0" w:line="1"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Adjusted store EBITDA margin is calculated as adjusted store EBITDA as a percentage of revenues from company owned and operated stores.</w:t>
      </w:r>
    </w:p>
    <w:p>
      <w:pPr>
        <w:spacing w:after="0" w:line="22" w:lineRule="exact"/>
        <w:rPr>
          <w:sz w:val="20"/>
          <w:szCs w:val="20"/>
          <w:color w:val="auto"/>
        </w:rPr>
      </w:pPr>
    </w:p>
    <w:p>
      <w:pPr>
        <w:ind w:right="180" w:firstLine="8"/>
        <w:spacing w:after="0" w:line="195"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Fully-burdened gross profit of company owned and operated stores, the most comparable GAAP measure to adjusted store EBITDA, was a loss of RMB46.4 million (USD6.7 million) for the three months ended December 31, 2022, compared to a loss of RMB52.7 million in the same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6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2022 HIGHLIGHTS</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RMB1,011.1 million (USD146.6 million), representing a 57.2% increase from 2021.</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totaled 227 (174 company owned and operated stores and 53 franchised stores) in 2022, reaching 617 total stores at year-end (547 company owned and operated stores and 70 franchised stores).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Registered loyalty club members </w:t>
      </w:r>
      <w:r>
        <w:rPr>
          <w:rFonts w:ascii="Times New Roman" w:cs="Times New Roman" w:eastAsia="Times New Roman" w:hAnsi="Times New Roman"/>
          <w:sz w:val="18"/>
          <w:szCs w:val="18"/>
          <w:color w:val="auto"/>
        </w:rPr>
        <w:t>totaled 11.3 million as of December 31, 2022, representing an 88.5% increase from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MANAGEMENT STATEMENT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Yongchen Lu, CEO &amp; Director of Tims China, commented, “We demonstrated resilience and agility during the fourth quarter of 2022 and are pleased with our achievements, especially considering the challenges brought about by the COVID-19 pandemic, which were particularly acute in December given peaks in infection rates across the country. Despite the difficult circumstances, we managed to grow total revenues year-over-year by 34.6%, expand our store network to 617 across 39 cities, launch a series of new bestseller products such as ‘mulled wine flavored brewed coffee’ and ‘salted egg yolk wrap’, and grow our registered loyalty club membership to over 11 million by year-end. With the end of ‘zero-COVID control measures’ by the PRC government authorities in December 2022, we are very excited to embark on a new era of development while continuing to drive strong revenue growth, win market share, and achieve margin expansion in the coming quarters.”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Lu added, “In 2023, we will continue to execute our differentiated ‘Coffee Plus’ growth strategy by offering creative and customized beverage and food combos at compelling values. This initiative has been highly successful: the percentage of orders with food increased from 38.5% in the fourth quarter of 2021 to 47.1% in the fourth quarter of 2022. We plan to surpass 1,000 system-wide stores by year-end and further enhance our customer-facing technology, key pillars of our strategy of driving ‘absolute convenience’ for our guests.”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Dong (Albert) Li, CFO of Tims China, commented, “In the fourth quarter of 2022, COVID-19 created tremendous pressure on the entire consumer segment in China and our operations were significantly disrupted by widespread infections. However, our team performed well and remained committed to delivering high-quality products and sustained services, while also maintaining the safety and health of our employees and customers in this volatile environment. In the fourth quarter, we expanded both top-line revenues and adjusted store EBITDA margin and also opened a record net new stores of 131, of which 23 utilize our compact Tims Express format in partnership with Sinopec Easy Joy.”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Li continued, “Looking ahead, our top near-term financial priorities are to continue to deliver robust revenue growth, expand store-level profitability, and improve adjusted corporate EBITDA margins. By leveraging Tims China’s brand influence and positive consumer perception, growing customer recognition and loyalty, continuous innovation, ever-expanding store network, and disciplined execution, we expect to further optimize our cost structure, improve on operational efficiency, and achieve greater economies of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6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AND RELATED EFFORTS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2022, our business operations were severely affected due to the resurgence of the pandemic and multiple rounds of lockdowns across major cities in the PRC. In December, the PRC government significantly changed its COVID policies, including removal of mass testing and central quarantine requirements, as well as lifting of travel restrictions. A significant wave of infections occurred and many chose to stay at home. As a result, dine-in traffic declined substantially. In the fourth quarter of 2022, we also experienced approximately 48 daily temporary store closures on average, over twice as many compared to approximately 23 daily temporary store closures on average in the third quarter of 2022.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cope with and to adapt to challenges from the pandemic, we continued to focus on our digital capabilities in order to capture the growing demand from delivery and takeaway services. As a result, the number of delivery and takeaway orders increased by 47.3% from the fourth quarter of 2021 to the fourth quarter of 2022.</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the easing of pandemic-related measures, we have gradually resumed normal operations and the overall business environment and consumer sentiment have dramatically improved. This recovery is well demonstrated in our same-store sales performance, which reached 17.1% in February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2022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reached RMB301.5 million (USD43.7 million) for the three months ended December 31, 2022, representing an increase of 34.6% from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RMB224.0 million in the same quarter of 2021. Total revenues comprise:</w:t>
      </w:r>
    </w:p>
    <w:p>
      <w:pPr>
        <w:spacing w:after="0" w:line="203" w:lineRule="exact"/>
        <w:rPr>
          <w:sz w:val="20"/>
          <w:szCs w:val="20"/>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Revenues from company owned and operated stores </w:t>
      </w:r>
      <w:r>
        <w:rPr>
          <w:rFonts w:ascii="Times New Roman" w:cs="Times New Roman" w:eastAsia="Times New Roman" w:hAnsi="Times New Roman"/>
          <w:sz w:val="18"/>
          <w:szCs w:val="18"/>
          <w:color w:val="auto"/>
        </w:rPr>
        <w:t>were RMB272.5 million (USD39.5 million) for the three months ended December 31, 2022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an increase of 27.5% from RMB213.7 million in the same quarter of 2021. The growth was primarily driven by an increase in the number of company owned and operated stores from 373 as of December 31, 2021 to 547 as of December 31, 2022, offset by negative 7.1% same-store sales growth of company owned and operated stores for the three months ended December 31, 2022.</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revenues </w:t>
      </w:r>
      <w:r>
        <w:rPr>
          <w:rFonts w:ascii="Times New Roman" w:cs="Times New Roman" w:eastAsia="Times New Roman" w:hAnsi="Times New Roman"/>
          <w:sz w:val="18"/>
          <w:szCs w:val="18"/>
          <w:color w:val="auto"/>
        </w:rPr>
        <w:t>were RMB29.0 million (USD4.2 million) for the three months ended December 31, 2022, representing an increase of 180.7%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RMB10.3 million in the same quarter of 2021. The growth was primarily attributable to the rapid expansion of our e-commerce business and an increase in franchise fees and revenues from other franchise support activities, which was attributable to an increase in the number of franchised stores from 17 as of December 31, 2021 to 70 as of December 31, 2022.</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 operated store costs and expenses </w:t>
      </w:r>
      <w:r>
        <w:rPr>
          <w:rFonts w:ascii="Times New Roman" w:cs="Times New Roman" w:eastAsia="Times New Roman" w:hAnsi="Times New Roman"/>
          <w:sz w:val="18"/>
          <w:szCs w:val="18"/>
          <w:color w:val="auto"/>
        </w:rPr>
        <w:t>were RMB310.7 million (USD45.0 million) for the three months ended December 31, 2022, representing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18.4% from RMB262.5 million in the same quarter of 2021. Company operated store costs and expenses comprise: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6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Food and packaging expenses </w:t>
      </w:r>
      <w:r>
        <w:rPr>
          <w:rFonts w:ascii="Times New Roman" w:cs="Times New Roman" w:eastAsia="Times New Roman" w:hAnsi="Times New Roman"/>
          <w:sz w:val="18"/>
          <w:szCs w:val="18"/>
          <w:color w:val="auto"/>
        </w:rPr>
        <w:t>were RMB89.5 million (USD13.0 million), representing an increase of 25.0% from RMB71.6 million, in line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revenue growth and store network expansion. Food and packaging costs as a percentage of revenues from company owned and operated stores decreased by 0.7 percentage points from 33.5% in the fourth quarter of 2021 to 32.8% in the fourth quarter of 2022.</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Rental and property management fee </w:t>
      </w:r>
      <w:r>
        <w:rPr>
          <w:rFonts w:ascii="Times New Roman" w:cs="Times New Roman" w:eastAsia="Times New Roman" w:hAnsi="Times New Roman"/>
          <w:sz w:val="18"/>
          <w:szCs w:val="18"/>
          <w:color w:val="auto"/>
        </w:rPr>
        <w:t>were RMB75.9 million (USD11.0 million), representing an increase of 35.2% from RMB56.2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mainly due to the increase in the number of company owned and operated stores from 373 as of December 31, 2021 to 547 as of December 31, 2022. The Company firstly adopted the ASC 842 Leases accounting standards during the fourth quarter of 2022. Accordingly, rental and property management fee as a percentage of revenues from company owned and operated stores increased by 1.6 percentage points from 26.3% in the fourth quarter of 2021 to 27.9% in the fourth quarter of 2022.</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Payroll and employee benefits expenses </w:t>
      </w:r>
      <w:r>
        <w:rPr>
          <w:rFonts w:ascii="Times New Roman" w:cs="Times New Roman" w:eastAsia="Times New Roman" w:hAnsi="Times New Roman"/>
          <w:sz w:val="18"/>
          <w:szCs w:val="18"/>
          <w:color w:val="auto"/>
        </w:rPr>
        <w:t>were RMB66.7 million (USD9.7 million), representing a decrease of 7.1% from RMB71.8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refined staffing arrangement of our store operation personnel and optimization of our labor structure, including hiring more part-time employees, during the fourth quarter of 2022. Payroll and employee benefits as a percentage of revenues from company owned and operated stores decreased by 9.1 percentage points from 33.6% in the fourth quarter of 2021 to 24.5% in the fourth quarter of 2022.</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Delivery costs </w:t>
      </w:r>
      <w:r>
        <w:rPr>
          <w:rFonts w:ascii="Times New Roman" w:cs="Times New Roman" w:eastAsia="Times New Roman" w:hAnsi="Times New Roman"/>
          <w:sz w:val="18"/>
          <w:szCs w:val="18"/>
          <w:color w:val="auto"/>
        </w:rPr>
        <w:t>were RMB21.9 million (USD3.2 million), representing an increase of 57.4% from RMB13.9 million, due to increased home-delivery orders. Delivery costs as a percentage of revenues from company owned and operated stores increased by 1.5 percentage points from 6.5% in the fourth quarter of 2021 to 8.0% in the fourth quarter of 2022.</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operating expenses </w:t>
      </w:r>
      <w:r>
        <w:rPr>
          <w:rFonts w:ascii="Times New Roman" w:cs="Times New Roman" w:eastAsia="Times New Roman" w:hAnsi="Times New Roman"/>
          <w:sz w:val="18"/>
          <w:szCs w:val="18"/>
          <w:color w:val="auto"/>
        </w:rPr>
        <w:t>were RMB23.1 million (USD3.4 million), representing a decrease of 17.4% from RMB28.0 million, due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continuous efforts to optimize our cost structure and drive operating leverage through revenue growth and store network expansion. Other operating expenses as a percentage of revenues from company owned and operated stores decreased by 4.6 percentage points from 13.1% in the fourth quarter of 2021 to 8.5% in the fourth quarter of 2022.</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Store depreciation and amortization </w:t>
      </w:r>
      <w:r>
        <w:rPr>
          <w:rFonts w:ascii="Times New Roman" w:cs="Times New Roman" w:eastAsia="Times New Roman" w:hAnsi="Times New Roman"/>
          <w:sz w:val="18"/>
          <w:szCs w:val="18"/>
          <w:color w:val="auto"/>
        </w:rPr>
        <w:t>were RMB33.5 million (USD4.9 million), representing an increase of 59.8% from RMB21.0 million, driven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 increase in the number of company owned and operated stores from 373 as of December 31, 2021 to 547 as of December 31, 2022. Store depreciation and amortization as a percentage of revenues from company owned and operated stores increased by 2.5 percentage points from 9.8% in the fourth quarter of 2021 to 12.3% in the fourth quarter of 2022.</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other revenues </w:t>
      </w:r>
      <w:r>
        <w:rPr>
          <w:rFonts w:ascii="Times New Roman" w:cs="Times New Roman" w:eastAsia="Times New Roman" w:hAnsi="Times New Roman"/>
          <w:sz w:val="18"/>
          <w:szCs w:val="18"/>
          <w:color w:val="auto"/>
        </w:rPr>
        <w:t>was RMB22.1 million (USD3.2 million) for the three months ended December 31, 2022, representing an increase of 238.6%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RMB6.5 million in the same quarter of 2021, which was primarily driven by an increase in the number of franchised stores from 17 as of December 31, 2021 to 70 as of December 31, 2022, and the incurrence of cost of product sales related to our e-commerce business during the fourth quarter of 2022.</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Marketing expenses </w:t>
      </w:r>
      <w:r>
        <w:rPr>
          <w:rFonts w:ascii="Times New Roman" w:cs="Times New Roman" w:eastAsia="Times New Roman" w:hAnsi="Times New Roman"/>
          <w:sz w:val="18"/>
          <w:szCs w:val="18"/>
          <w:color w:val="auto"/>
        </w:rPr>
        <w:t>were RMB24.3 million (USD3.5 million) for the three months ended December 31, 2022, representing an increase of 18.4%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RMB20.5 million in the same quarter of 2021, which was primarily attributable to the increase in the number of our system-wide stores from 390 as of December 31, 2021 to 617 as of December 31, 2022. Marketing expenses as a percentage of total revenues decreased by 1.1 percentage points from 9.2% in the fourth quarter of 2021 to 8.1% in the fourth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5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RMB66.5 million (USD9.6 million) for the three months ended December 31, 2022, representing an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13.5% from RMB58.6 million in the same quarter of 2021, which was primarily due to: (i) increased payroll and employee benefits as a result of growing headcount; and (ii) increased share-based compensation expenses recognized. </w:t>
      </w:r>
      <w:r>
        <w:rPr>
          <w:rFonts w:ascii="Times New Roman" w:cs="Times New Roman" w:eastAsia="Times New Roman" w:hAnsi="Times New Roman"/>
          <w:sz w:val="18"/>
          <w:szCs w:val="18"/>
          <w:b w:val="1"/>
          <w:bCs w:val="1"/>
          <w:color w:val="auto"/>
        </w:rPr>
        <w:t>Adjusted general and administrative expenses</w:t>
      </w:r>
      <w:r>
        <w:rPr>
          <w:rFonts w:ascii="Times New Roman" w:cs="Times New Roman" w:eastAsia="Times New Roman" w:hAnsi="Times New Roman"/>
          <w:sz w:val="18"/>
          <w:szCs w:val="18"/>
          <w:color w:val="auto"/>
        </w:rPr>
        <w:t>, which excludes share-based compensation expenses of RMB11.1 million (USD1.6 million), were RMB55.3 million (USD8.0 million). Adjusted general and administrative expenses as a percentage of total revenues decreased by 7.8 percentage points from 26.1% in the fourth quarter of 2021 to 18.3% in the fourth quarter of 2022. For more information on the Company’s non-GAAP financial measures, please see the section “Non-GAAP Financial Measures” and the table captioned “Reconciliation of Non-GAAP Measures to the Most Directly Comparable GAAP Measures” set forth at the end of this earnings release.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Franchise and royalty expenses </w:t>
      </w:r>
      <w:r>
        <w:rPr>
          <w:rFonts w:ascii="Times New Roman" w:cs="Times New Roman" w:eastAsia="Times New Roman" w:hAnsi="Times New Roman"/>
          <w:sz w:val="18"/>
          <w:szCs w:val="18"/>
          <w:color w:val="auto"/>
        </w:rPr>
        <w:t>were RMB10.3 million (USD1.5 million) for the three months ended December 31, 2022, representing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92.6% from RMB5.3 million in the same quarter of 2021, which was primarily driven by the increase in the number of our system-wide stores from 390 as of December 31, 2021 to 617 as of December 31, 2022. Franchise and royalty expenses as a percentage of total revenues increased by 1.0 percentage points from 2.4% in the fourth quarter of 2021 to 3.4% in the fourth quarter of 2022.</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As a result of the foregoing, </w:t>
      </w:r>
      <w:r>
        <w:rPr>
          <w:rFonts w:ascii="Times New Roman" w:cs="Times New Roman" w:eastAsia="Times New Roman" w:hAnsi="Times New Roman"/>
          <w:sz w:val="18"/>
          <w:szCs w:val="18"/>
          <w:b w:val="1"/>
          <w:bCs w:val="1"/>
          <w:color w:val="auto"/>
        </w:rPr>
        <w:t>operating loss</w:t>
      </w:r>
      <w:r>
        <w:rPr>
          <w:rFonts w:ascii="Times New Roman" w:cs="Times New Roman" w:eastAsia="Times New Roman" w:hAnsi="Times New Roman"/>
          <w:sz w:val="18"/>
          <w:szCs w:val="18"/>
          <w:color w:val="auto"/>
        </w:rPr>
        <w:t xml:space="preserve"> was RMB131.4 million (USD19.0 million) for the three months ended December 31, 2022, compared to RMB129.3 million in the same quarter of 2021.</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Corporate EBITDA </w:t>
      </w:r>
      <w:r>
        <w:rPr>
          <w:rFonts w:ascii="Times New Roman" w:cs="Times New Roman" w:eastAsia="Times New Roman" w:hAnsi="Times New Roman"/>
          <w:sz w:val="18"/>
          <w:szCs w:val="18"/>
          <w:color w:val="auto"/>
        </w:rPr>
        <w:t>was a loss of RMB54.7 million (USD7.9 million) for the three months ended December 31, 2022, compared to a loss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RMB59.3 million in the same quarter of 2021. </w:t>
      </w:r>
      <w:r>
        <w:rPr>
          <w:rFonts w:ascii="Times New Roman" w:cs="Times New Roman" w:eastAsia="Times New Roman" w:hAnsi="Times New Roman"/>
          <w:sz w:val="18"/>
          <w:szCs w:val="18"/>
          <w:b w:val="1"/>
          <w:bCs w:val="1"/>
          <w:color w:val="auto"/>
        </w:rPr>
        <w:t>Adjusted Corporate EBITDA margin</w:t>
      </w:r>
      <w:r>
        <w:rPr>
          <w:rFonts w:ascii="Times New Roman" w:cs="Times New Roman" w:eastAsia="Times New Roman" w:hAnsi="Times New Roman"/>
          <w:sz w:val="18"/>
          <w:szCs w:val="18"/>
          <w:color w:val="auto"/>
        </w:rPr>
        <w:t xml:space="preserve"> was negative 18.1% in the fourth quarter of 2022, representing an improvement of 8.4 percentage points from negative 26.5% in the fourth quarter of 2021.</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RMB222.9 million (USD32.3 million) for the three months ended December 31, 2022, compared to RMB137.0 million for the same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2021. </w:t>
      </w:r>
      <w:r>
        <w:rPr>
          <w:rFonts w:ascii="Times New Roman" w:cs="Times New Roman" w:eastAsia="Times New Roman" w:hAnsi="Times New Roman"/>
          <w:sz w:val="18"/>
          <w:szCs w:val="18"/>
          <w:b w:val="1"/>
          <w:bCs w:val="1"/>
          <w:color w:val="auto"/>
        </w:rPr>
        <w:t>Adjusted net loss</w:t>
      </w:r>
      <w:r>
        <w:rPr>
          <w:rFonts w:ascii="Times New Roman" w:cs="Times New Roman" w:eastAsia="Times New Roman" w:hAnsi="Times New Roman"/>
          <w:sz w:val="18"/>
          <w:szCs w:val="18"/>
          <w:color w:val="auto"/>
        </w:rPr>
        <w:t xml:space="preserve"> was RMB100.8 million (USD14.6 million) for the three months ended December 31, 2022, compared to RMB89.5 million for the same quarter of 2021. Adjusted net loss margin was negative 33.4% in the fourth quarter of 2022, representing an improvement of 6.6 percentage points from negative 40.0% in the fourth quarter of 2021.</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loss per ordinary share </w:t>
      </w:r>
      <w:r>
        <w:rPr>
          <w:rFonts w:ascii="Times New Roman" w:cs="Times New Roman" w:eastAsia="Times New Roman" w:hAnsi="Times New Roman"/>
          <w:sz w:val="18"/>
          <w:szCs w:val="18"/>
          <w:color w:val="auto"/>
        </w:rPr>
        <w:t>was RMB1.61 (USD0.23) in the fourth quarter of 2022, compared to RMB1.11 in the fourth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2021. </w:t>
      </w:r>
      <w:r>
        <w:rPr>
          <w:rFonts w:ascii="Times New Roman" w:cs="Times New Roman" w:eastAsia="Times New Roman" w:hAnsi="Times New Roman"/>
          <w:sz w:val="18"/>
          <w:szCs w:val="18"/>
          <w:b w:val="1"/>
          <w:bCs w:val="1"/>
          <w:color w:val="auto"/>
        </w:rPr>
        <w:t>Adjusted basic and diluted net loss per ordinary share</w:t>
      </w:r>
      <w:r>
        <w:rPr>
          <w:rFonts w:ascii="Times New Roman" w:cs="Times New Roman" w:eastAsia="Times New Roman" w:hAnsi="Times New Roman"/>
          <w:sz w:val="18"/>
          <w:szCs w:val="18"/>
          <w:color w:val="auto"/>
        </w:rPr>
        <w:t xml:space="preserve"> was RMB0.73 (USD0.11) in the fourth quarter of 2022, compared to RMB0.73 in the fourth quarter of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Company’s total cash and cash equivalents and short-term investments were RMB611.5 million (USD88.7 million), compared to RMB390.8 million as of December 31, 2021. The change was primarily attributable to proceeds from bank borrowings, proceeds from the closing of our merger with Silver Crest Acquisition Corporation, proceeds from our PIPE investors and proceeds from investors who entered into an Equity Support Agreement dated March 8, 2022, as amended (the “ESA”) with us, offset by the cash disbursements as a result of the rapid expansion of our business and store network nationwide.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54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38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8"/>
                <w:szCs w:val="18"/>
                <w:color w:val="auto"/>
              </w:rPr>
              <w:t>For the three months ended or as of</w:t>
            </w: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5"/>
        </w:trPr>
        <w:tc>
          <w:tcPr>
            <w:tcW w:w="3880" w:type="dxa"/>
            <w:vAlign w:val="bottom"/>
          </w:tcPr>
          <w:p>
            <w:pPr>
              <w:spacing w:after="0"/>
              <w:rPr>
                <w:sz w:val="17"/>
                <w:szCs w:val="17"/>
                <w:color w:val="auto"/>
              </w:rPr>
            </w:pPr>
          </w:p>
        </w:tc>
        <w:tc>
          <w:tcPr>
            <w:tcW w:w="940" w:type="dxa"/>
            <w:vAlign w:val="bottom"/>
            <w:gridSpan w:val="2"/>
          </w:tcPr>
          <w:p>
            <w:pPr>
              <w:jc w:val="right"/>
              <w:ind w:right="320"/>
              <w:spacing w:after="0" w:line="205" w:lineRule="exact"/>
              <w:rPr>
                <w:sz w:val="20"/>
                <w:szCs w:val="20"/>
                <w:color w:val="auto"/>
              </w:rPr>
            </w:pPr>
            <w:r>
              <w:rPr>
                <w:rFonts w:ascii="Times New Roman" w:cs="Times New Roman" w:eastAsia="Times New Roman" w:hAnsi="Times New Roman"/>
                <w:sz w:val="18"/>
                <w:szCs w:val="18"/>
                <w:color w:val="auto"/>
              </w:rPr>
              <w:t>Mar 31,</w:t>
            </w:r>
          </w:p>
        </w:tc>
        <w:tc>
          <w:tcPr>
            <w:tcW w:w="920" w:type="dxa"/>
            <w:vAlign w:val="bottom"/>
            <w:gridSpan w:val="2"/>
          </w:tcPr>
          <w:p>
            <w:pPr>
              <w:jc w:val="right"/>
              <w:ind w:right="340"/>
              <w:spacing w:after="0" w:line="205" w:lineRule="exact"/>
              <w:rPr>
                <w:sz w:val="20"/>
                <w:szCs w:val="20"/>
                <w:color w:val="auto"/>
              </w:rPr>
            </w:pPr>
            <w:r>
              <w:rPr>
                <w:rFonts w:ascii="Times New Roman" w:cs="Times New Roman" w:eastAsia="Times New Roman" w:hAnsi="Times New Roman"/>
                <w:sz w:val="18"/>
                <w:szCs w:val="18"/>
                <w:color w:val="auto"/>
              </w:rPr>
              <w:t>Jun 30,</w:t>
            </w:r>
          </w:p>
        </w:tc>
        <w:tc>
          <w:tcPr>
            <w:tcW w:w="940" w:type="dxa"/>
            <w:vAlign w:val="bottom"/>
            <w:gridSpan w:val="2"/>
          </w:tcPr>
          <w:p>
            <w:pPr>
              <w:jc w:val="center"/>
              <w:ind w:right="280"/>
              <w:spacing w:after="0" w:line="205" w:lineRule="exact"/>
              <w:rPr>
                <w:sz w:val="20"/>
                <w:szCs w:val="20"/>
                <w:color w:val="auto"/>
              </w:rPr>
            </w:pPr>
            <w:r>
              <w:rPr>
                <w:rFonts w:ascii="Times New Roman" w:cs="Times New Roman" w:eastAsia="Times New Roman" w:hAnsi="Times New Roman"/>
                <w:sz w:val="18"/>
                <w:szCs w:val="18"/>
                <w:color w:val="auto"/>
                <w:w w:val="99"/>
              </w:rPr>
              <w:t>Sep 30,</w:t>
            </w:r>
          </w:p>
        </w:tc>
        <w:tc>
          <w:tcPr>
            <w:tcW w:w="920" w:type="dxa"/>
            <w:vAlign w:val="bottom"/>
            <w:gridSpan w:val="2"/>
          </w:tcPr>
          <w:p>
            <w:pPr>
              <w:jc w:val="right"/>
              <w:ind w:right="320"/>
              <w:spacing w:after="0" w:line="205" w:lineRule="exact"/>
              <w:rPr>
                <w:sz w:val="20"/>
                <w:szCs w:val="20"/>
                <w:color w:val="auto"/>
              </w:rPr>
            </w:pPr>
            <w:r>
              <w:rPr>
                <w:rFonts w:ascii="Times New Roman" w:cs="Times New Roman" w:eastAsia="Times New Roman" w:hAnsi="Times New Roman"/>
                <w:sz w:val="18"/>
                <w:szCs w:val="18"/>
                <w:color w:val="auto"/>
              </w:rPr>
              <w:t>Dec 31,</w:t>
            </w:r>
          </w:p>
        </w:tc>
        <w:tc>
          <w:tcPr>
            <w:tcW w:w="940" w:type="dxa"/>
            <w:vAlign w:val="bottom"/>
            <w:gridSpan w:val="2"/>
          </w:tcPr>
          <w:p>
            <w:pPr>
              <w:jc w:val="center"/>
              <w:ind w:right="260"/>
              <w:spacing w:after="0" w:line="205" w:lineRule="exact"/>
              <w:rPr>
                <w:sz w:val="20"/>
                <w:szCs w:val="20"/>
                <w:color w:val="auto"/>
              </w:rPr>
            </w:pPr>
            <w:r>
              <w:rPr>
                <w:rFonts w:ascii="Times New Roman" w:cs="Times New Roman" w:eastAsia="Times New Roman" w:hAnsi="Times New Roman"/>
                <w:sz w:val="18"/>
                <w:szCs w:val="18"/>
                <w:color w:val="auto"/>
                <w:w w:val="98"/>
              </w:rPr>
              <w:t>Mar 31,</w:t>
            </w:r>
          </w:p>
        </w:tc>
        <w:tc>
          <w:tcPr>
            <w:tcW w:w="940" w:type="dxa"/>
            <w:vAlign w:val="bottom"/>
            <w:gridSpan w:val="2"/>
          </w:tcPr>
          <w:p>
            <w:pPr>
              <w:jc w:val="right"/>
              <w:ind w:right="340"/>
              <w:spacing w:after="0" w:line="205" w:lineRule="exact"/>
              <w:rPr>
                <w:sz w:val="20"/>
                <w:szCs w:val="20"/>
                <w:color w:val="auto"/>
              </w:rPr>
            </w:pPr>
            <w:r>
              <w:rPr>
                <w:rFonts w:ascii="Times New Roman" w:cs="Times New Roman" w:eastAsia="Times New Roman" w:hAnsi="Times New Roman"/>
                <w:sz w:val="18"/>
                <w:szCs w:val="18"/>
                <w:color w:val="auto"/>
              </w:rPr>
              <w:t>Jun 30,</w:t>
            </w:r>
          </w:p>
        </w:tc>
        <w:tc>
          <w:tcPr>
            <w:tcW w:w="940" w:type="dxa"/>
            <w:vAlign w:val="bottom"/>
            <w:gridSpan w:val="2"/>
          </w:tcPr>
          <w:p>
            <w:pPr>
              <w:jc w:val="right"/>
              <w:ind w:right="340"/>
              <w:spacing w:after="0" w:line="205" w:lineRule="exact"/>
              <w:rPr>
                <w:sz w:val="20"/>
                <w:szCs w:val="20"/>
                <w:color w:val="auto"/>
              </w:rPr>
            </w:pPr>
            <w:r>
              <w:rPr>
                <w:rFonts w:ascii="Times New Roman" w:cs="Times New Roman" w:eastAsia="Times New Roman" w:hAnsi="Times New Roman"/>
                <w:sz w:val="18"/>
                <w:szCs w:val="18"/>
                <w:color w:val="auto"/>
              </w:rPr>
              <w:t>Sep 30,</w:t>
            </w:r>
          </w:p>
        </w:tc>
        <w:tc>
          <w:tcPr>
            <w:tcW w:w="6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Dec 31,</w:t>
            </w:r>
          </w:p>
        </w:tc>
        <w:tc>
          <w:tcPr>
            <w:tcW w:w="160" w:type="dxa"/>
            <w:vAlign w:val="bottom"/>
          </w:tcPr>
          <w:p>
            <w:pPr>
              <w:spacing w:after="0"/>
              <w:rPr>
                <w:sz w:val="17"/>
                <w:szCs w:val="17"/>
                <w:color w:val="auto"/>
              </w:rPr>
            </w:pPr>
          </w:p>
        </w:tc>
      </w:tr>
      <w:tr>
        <w:trPr>
          <w:trHeight w:val="234"/>
        </w:trPr>
        <w:tc>
          <w:tcPr>
            <w:tcW w:w="38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20"/>
                <w:szCs w:val="20"/>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stores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Company owned and operated stores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373</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403</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419</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Franchised stores</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Same-store sales growth for system-wide stores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198"/>
        </w:trPr>
        <w:tc>
          <w:tcPr>
            <w:tcW w:w="3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Same-store sales growth for company owned and</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operated stores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Registered loyalty club members (in thousands)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2,947</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3,865</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4,770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5,969</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6,907</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7,532</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8,862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11,250</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store EBITDA (Renminbi in thousands)</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7,545</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5,285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8,780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-25,011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-43,787</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15,325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12,796</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Adjusted store EBITDA margin</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The Company has revised its previously announced adjusted store EBITDA and adjusted store EBITDA margin to more accurately account for store depreciation and amortization and franchise and royalty expenses for company owned and operated stores. Please refer to “RECONCILIATION OF NON-GAAP MEASURES TO THE MOST DIRECTLY COMPARABLE GAAP MEASURES – A. Adjusted store EBITDA and adjusted store EBITDA margin”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DEFINITIONS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sales growth. The percentage change in the sales of stores that have been operating for 12 months or longer during a certain period compared to the same period from the prior year. The same-store sales growth for any period of more than a month equals to the arithmetic average of the same-store sales growth of each month covered in the period. If a store was closed for seven days or more during any given month, its sales during that month and the same month in the comparison period are excluded for purposes of measuring same-store sales growth.</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new store openings. The gross number of new stores opened during the period minus the number of stores permanently closed during the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store EBITDA. Calculated as fully-burdened gross profit of company owned and operated stores excluding depreciation and amortization, and store pre-opening expenses.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store EBITDA margin. Calculated as adjusted store EBITDA as a percentage of revenues from company owned and operated stores.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general and administrative expenses. Calculated as general and administrative expenses excluding share-based compensation expenses, expenses related to the issuance of certain ordinary shares to CF Principal Investments LLC in November 2022 (the “Commitment Shares”), offering costs related to the ESA (the “ESA Offering Costs”), and expenses related to 200,000 of our ordinary shares that may be purchased from our controlling shareholder by a holder of our convertible notes at its option pursuant to the terms of an Option Agreement dated September 28, 2022 (the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6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corporate EBITDA. Calculated as operating loss excluding store pre-opening expenses, and certain non-cash expenses consisting of depreciation and amortization, share-based compensation expenses, expenses related to the Commitment Shares, the ESA Offering Costs, expenses related to the Option Shares, impairment losses of long-lived assets and loss on disposal of property and equipment.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corporate EBITDA margin. Calculated as adjusted corporate EBITDA as a percentage of total revenues.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Calculated as net loss excluding store pre-opening expenses, share-based compensation expenses, expenses related to the Commitment Shares, the ESA Offering Costs, expenses related to the Option Shares, impairment losses of long-lived assets, loss on disposal of property and equipment, changes in fair value of convertible notes, changes in fair value of warrant liabilities; and changes in fair value of ESA derivative liabilities.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margin. Calculated as adjusted net loss as a percentage of total revenues.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basic and diluted net loss per ordinary share. Calculated as adjusted net loss attributable to the Company’s ordinary shareholders divided by weighted-average number of basic and diluted ordinary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9" w:lineRule="exact"/>
        <w:rPr>
          <w:sz w:val="20"/>
          <w:szCs w:val="20"/>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17, 2023, Tims China celebrated the opening its 600th coffee shop, a milestone achieved in late 2022. The 600th store is located in Zhongshan in Guangdong province, part of Tims China’s Pearl River Delta cluster, which includes Shenzhen and Guangzhou.</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8, 2023, Tims China announced that its board of directors had approved the entry into a transaction for the exclusive rights to develop and sub-franchise Popeyes, another iconic brand owned by Restaurant Brands International and one of the world’s largest chicken quick-service restaurant groups with over 3,900 locations globally, in mainland China and Macau. The transaction was closed on March 30, 2023 and is expected to bring significant operational and development synergies and further growth potential to Tims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non-GAAP financial measures, namely adjusted store EBITDA, adjusted store EBITDA margin, adjusted general and administrative expenses, adjusted corporate EBITDA, adjusted corporate EBITDA margin, adjusted net loss, adjusted net loss margin, and adjusted basic and diluted net loss per ordinary share in evaluating its operating results and for financial and operational decision-making purposes. The Company defines (i) adjusted store EBITDA as fully-burdened gross profit of company owned and operated stores excluding depreciation and amortization, and store pre-opening expenses; (ii) adjusted store EBITDA margin as adjusted store EBITDA as a percentage of revenues from company owned and operated stores;</w:t>
      </w:r>
    </w:p>
    <w:p>
      <w:pPr>
        <w:spacing w:after="0" w:line="3" w:lineRule="exact"/>
        <w:rPr>
          <w:sz w:val="20"/>
          <w:szCs w:val="20"/>
          <w:color w:val="auto"/>
        </w:rPr>
      </w:pPr>
    </w:p>
    <w:p>
      <w:pPr>
        <w:jc w:val="both"/>
        <w:ind w:firstLine="8"/>
        <w:spacing w:after="0" w:line="250" w:lineRule="auto"/>
        <w:tabs>
          <w:tab w:leader="none" w:pos="3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general and administrative expenses as general and administrative expenses excluding share-based compensation expenses, expenses related to the Commitment Shares, the ESA Offering Costs, and expenses related to the Option Shares; (iv) adjusted corporate EBITDA as operating loss excluding store pre-opening expenses, and certain non-cash expenses consisting of depreciation and amortization, share-based compensation expenses, expenses related to the Commitment Shares, the ESA Offering Costs, expenses related to the Option Shares, impairment losses of long-lived assets and loss on disposal of property and equipment; (v) adjusted corporate EBITDA margin as adjusted corporate EBITDA as a percentage of total revenues;</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as net loss excluding store pre-opening expenses, share-based compensation expenses, expenses related to the Commitment Shares, the ESA Offering Costs, expenses related to the Option Shares, impairment losses of long-lived assets, loss on disposal of property and equipment, changes in fair value of convertible notes, changes in fair value of warrant liabilities; and changes in fair value of ESA derivative liabilities; (vii) adjusted net loss margin as adjusted net loss as a percentage of total revenues; (viii) adjusted basic and diluted net loss per ordinary share as adjusted net loss attributable to the Company’s ordinary shareholders divided by weighted-average number of basic and diluted ordinary share. The Company believes adjusted store EBITDA, adjusted store EBITDA margin, adjusted general and administrative expenses, adjusted corporate EBITDA, adjusted corporate EBITDA margin, adjusted net loss, adjusted net loss margin, and adjusted basic and diluted net loss per ordinary share enhance investors' overall understanding of its financial performance and allow for greater visibility with respect to key metrics used by its management in its financial and operational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6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non-GAAP financial measures are not defined under U.S. GAAP and are not presented in accordance with U.S. GAAP. As these non-GAAP financial measures have limitations as analytical tools and may not be calculated in the same manner by all companies, they may not be comparable to other similarly titled measures used by other companies. The Company compensates for these limitations by reconciling the non-GAAP financial measures to the nearest U.S. GAAP performance measures, which should be considered when evaluating the Company’s performance. For reconciliation of these non-GAAP financial measures to the most directly comparable GAAP financial measures, please see the section of the accompanying tables titled, “Reconciliation of GAAP and Non-GAAP Results.” The Company encourages investors and others to review its financial information in its entirety and not rely on any single financial measure.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translations of certain RMB amounts into U.S. dollars (“USD”) at specified rates solely for the convenience of the reader. Unless otherwise stated, all translations from RMB to USD were made at the rate of RMB6.8972 to USD1.00, the exchange rate in effect on December 30, 2022 set forth in the H.10 statistical release of the Federal Reserve Board. The Company makes no representation that the RMB or USD amounts referred could be converted into USD or RMB, as the case may be, at any particular rate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PRE-RECORDED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 pre-recorded presentation that will be available beginning at Thursday, April 6, 2023, at 8:00 am Eastern Time (or Thursday, April 6, 2023, at 8:00 pm Beijing Time) from the Investor Relations website at https://ir.timschina.com under “Events and Presentations”.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These forward-looking statements generally are identified by the words “believe,” “project,” “expect,” “anticipate,” “estimate,” “intend,” “strategy,” “future,” “opportunity,” “plan,” “may,” “should,” “will,” “would,” “will be,” “will continue,” “will likely result,” and similar expressions. Without limiting the generality of the foregoing, the forward-looking statements in this press release include descriptions of the Company’s future commercial operations, such as the continued expansion of its store network and growth of its loyalty club members, and its ability to grow customer recognition, brand awareness and loyalty, the potential benefits of the Popeyes transaction, estimates of the Company’s future market share and financial performance, and the Company’s business plans and financial strategies.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such as the Company’s inability to implement its business plans, identify and realize additional opportunities, or meet or exceed its financial projections and changes in the regulatory or competitive environment in which the Company operates. You should carefully consider the foregoing factors and the other risks and uncertainties described in the Company’s registration statement on Form F-1, as amended, which was declared effective by the U.S. Securities and Exchange Commission (the “SEC”) on December 22, 2022 and other documents filed or to be filed by the Company with the SEC from time to time, which could cause actual events and results to differ materially from those contained in the forward-looking statements. Forward-looking statements speak only as of the date they are made. Readers are cautioned not to put undue reliance on forward-looking statements. The Company cannot assure you that these forward-looking statements will prove to be accurate and assumes no obligation and does not intend to update or revise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6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PRELIMINARY UNAUDITED FINANCIAL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 Accordingly, you should not place undue reliance upon these preliminary estimates. The preliminary unaudited financial information included in this press release has been prepared by, and is the responsibility of, the Company’s management. The Company’s auditor has not audited, reviewed, compiled or applied agreed-upon procedures with respect to such preliminary financial data. Accordingly, the Company’s auditor does not express an opinion or any other form of assurance with respect thereto. Upon completion of the year-end audit, the Company’s audited financial results may differ materially from its preliminary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 INTERNATIONAL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 International Limited (Nasdaq: THCH) (“Tims China”) is the parent company of the exclusive master franchisee of Tim Hortons coffee shops for Restaurant Brands International Inc. (TSX: QSR) (NYSE: QSR) in China, including Hong Kong and Macau. TH International Limited was founded by Cartesian Capital Group and Tim Hortons Restaurants International, a subsidiary of Restaurant Brands International Inc.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Tims China offers freshly brewed coffee, tea and other beverages, bakery &amp; sides, and sandwiches and is an emerging coffee champion in China. The brand's philosophy is rooted in world-class execution and data-driven decision making and centered on true local relevance, continuous innovation, genuine community, and absolute convenience. For more information, please visit </w:t>
      </w:r>
      <w:r>
        <w:rPr>
          <w:rFonts w:ascii="Times New Roman" w:cs="Times New Roman" w:eastAsia="Times New Roman" w:hAnsi="Times New Roman"/>
          <w:sz w:val="18"/>
          <w:szCs w:val="18"/>
          <w:u w:val="single" w:color="auto"/>
          <w:color w:val="auto"/>
        </w:rPr>
        <w:t>www.timhortons.com.cn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Tims China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IR@timschina.com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TimsChinaIR@icrinc.com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TimsChinaPR@icrinc.com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46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gridSpan w:val="3"/>
          </w:tcPr>
          <w:p>
            <w:pPr>
              <w:jc w:val="center"/>
              <w:ind w:left="2690"/>
              <w:spacing w:after="0"/>
              <w:rPr>
                <w:sz w:val="20"/>
                <w:szCs w:val="20"/>
                <w:color w:val="auto"/>
              </w:rPr>
            </w:pPr>
            <w:r>
              <w:rPr>
                <w:rFonts w:ascii="Times New Roman" w:cs="Times New Roman" w:eastAsia="Times New Roman" w:hAnsi="Times New Roman"/>
                <w:sz w:val="18"/>
                <w:szCs w:val="18"/>
                <w:color w:val="auto"/>
                <w:w w:val="99"/>
              </w:rPr>
              <w:t>TH INTERNATIONAL LIMITED AND SUBSIDIARIES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3"/>
          </w:tcPr>
          <w:p>
            <w:pPr>
              <w:jc w:val="center"/>
              <w:ind w:left="2690"/>
              <w:spacing w:after="0"/>
              <w:rPr>
                <w:sz w:val="20"/>
                <w:szCs w:val="20"/>
                <w:color w:val="auto"/>
              </w:rPr>
            </w:pPr>
            <w:r>
              <w:rPr>
                <w:rFonts w:ascii="Times New Roman" w:cs="Times New Roman" w:eastAsia="Times New Roman" w:hAnsi="Times New Roman"/>
                <w:sz w:val="18"/>
                <w:szCs w:val="18"/>
                <w:color w:val="auto"/>
                <w:w w:val="99"/>
              </w:rPr>
              <w:t>UNAUDITED CONDENSED CONSOLIDATED BALANCE SHEETS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60" w:type="dxa"/>
            <w:vAlign w:val="bottom"/>
            <w:gridSpan w:val="3"/>
          </w:tcPr>
          <w:p>
            <w:pPr>
              <w:jc w:val="center"/>
              <w:ind w:left="2710"/>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w:t>
            </w:r>
          </w:p>
        </w:tc>
        <w:tc>
          <w:tcPr>
            <w:tcW w:w="144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8"/>
                <w:szCs w:val="18"/>
                <w:color w:val="auto"/>
              </w:rPr>
              <w:t>As of</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vMerge w:val="continue"/>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December 31, 2021</w:t>
            </w:r>
          </w:p>
        </w:tc>
        <w:tc>
          <w:tcPr>
            <w:tcW w:w="2680" w:type="dxa"/>
            <w:vAlign w:val="bottom"/>
            <w:gridSpan w:val="3"/>
          </w:tcPr>
          <w:p>
            <w:pPr>
              <w:jc w:val="right"/>
              <w:ind w:right="510"/>
              <w:spacing w:after="0" w:line="207" w:lineRule="exact"/>
              <w:rPr>
                <w:sz w:val="20"/>
                <w:szCs w:val="20"/>
                <w:color w:val="auto"/>
              </w:rPr>
            </w:pPr>
            <w:r>
              <w:rPr>
                <w:rFonts w:ascii="Times New Roman" w:cs="Times New Roman" w:eastAsia="Times New Roman" w:hAnsi="Times New Roman"/>
                <w:sz w:val="18"/>
                <w:szCs w:val="18"/>
                <w:color w:val="auto"/>
              </w:rPr>
              <w:t>December 31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14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RMB</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RMB</w:t>
            </w: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390,837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239,077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34,663</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investment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372,376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53,989</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42,479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71,468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10,362</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142,839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108,275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15,699</w:t>
            </w: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585,972</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796,813</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554,015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720,036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104,395</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77,594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96,018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13,921</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946,873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137,284</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67,312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82,270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11,928</w:t>
            </w: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non-current assets</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698,921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1,845,197</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1,284,893</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2,642,010</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bank borrowings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192,055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407,807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59,127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60,952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15,321</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22,122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14,074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22,485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financial liabilities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269,251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39,038</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liability-current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180,468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26,165</w:t>
            </w: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286,080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310,456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45,012</w:t>
            </w:r>
          </w:p>
        </w:tc>
        <w:tc>
          <w:tcPr>
            <w:tcW w:w="0" w:type="dxa"/>
            <w:vAlign w:val="bottom"/>
          </w:tcPr>
          <w:p>
            <w:pPr>
              <w:spacing w:after="0"/>
              <w:rPr>
                <w:sz w:val="1"/>
                <w:szCs w:val="1"/>
                <w:color w:val="auto"/>
              </w:rPr>
            </w:pPr>
          </w:p>
        </w:tc>
      </w:tr>
      <w:tr>
        <w:trPr>
          <w:trHeight w:val="209"/>
        </w:trPr>
        <w:tc>
          <w:tcPr>
            <w:tcW w:w="68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567,290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1,318,262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bank borrowings</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at fair value</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318,466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354,080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51,337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financial liabilities - non-current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19,083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liability-non-current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820,249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118,925</w:t>
            </w: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378,508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1,213,444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945,798</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2,531,706</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(US$0.0000094 par value, 500,000,000 shares authorized, 149,181,538</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and 140,938,555 shares issued and outstanding as of December 31, 2022,</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124,193,929 shares issued and outstanding as of December 31, 2021)</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937,315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1,472,015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213,422</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losses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(637,528)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(1,380,173)</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(200,106)</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35,744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198"/>
        </w:trPr>
        <w:tc>
          <w:tcPr>
            <w:tcW w:w="68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shares (8,242,983 and nil ordinary Shares as of December 31, 2022 and 2021,</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attributable to shareholders of the Company</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335,538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9"/>
        </w:trPr>
        <w:tc>
          <w:tcPr>
            <w:tcW w:w="68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339,095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1,284,893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2,642,010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383,055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8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746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 INTERNATIONAL LIMITED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 AND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3760" w:type="dxa"/>
            <w:vAlign w:val="bottom"/>
            <w:gridSpan w:val="7"/>
          </w:tcPr>
          <w:p>
            <w:pPr>
              <w:jc w:val="center"/>
              <w:ind w:right="128"/>
              <w:spacing w:after="0"/>
              <w:rPr>
                <w:sz w:val="20"/>
                <w:szCs w:val="20"/>
                <w:color w:val="auto"/>
              </w:rPr>
            </w:pPr>
            <w:r>
              <w:rPr>
                <w:rFonts w:ascii="Times New Roman" w:cs="Times New Roman" w:eastAsia="Times New Roman" w:hAnsi="Times New Roman"/>
                <w:sz w:val="14"/>
                <w:szCs w:val="14"/>
                <w:color w:val="auto"/>
              </w:rPr>
              <w:t>For the three months ended December 31,</w:t>
            </w:r>
          </w:p>
        </w:tc>
        <w:tc>
          <w:tcPr>
            <w:tcW w:w="2740" w:type="dxa"/>
            <w:vAlign w:val="bottom"/>
            <w:gridSpan w:val="5"/>
          </w:tcPr>
          <w:p>
            <w:pPr>
              <w:jc w:val="center"/>
              <w:ind w:left="628"/>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bottom w:val="single" w:sz="8" w:color="auto"/>
            </w:tcBorders>
            <w:gridSpan w:val="3"/>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80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3"/>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70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040" w:type="dxa"/>
            <w:vAlign w:val="bottom"/>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RMB</w:t>
            </w:r>
          </w:p>
        </w:tc>
        <w:tc>
          <w:tcPr>
            <w:tcW w:w="240" w:type="dxa"/>
            <w:vAlign w:val="bottom"/>
          </w:tcPr>
          <w:p>
            <w:pPr>
              <w:spacing w:after="0"/>
              <w:rPr>
                <w:sz w:val="13"/>
                <w:szCs w:val="13"/>
                <w:color w:val="auto"/>
              </w:rPr>
            </w:pPr>
          </w:p>
        </w:tc>
        <w:tc>
          <w:tcPr>
            <w:tcW w:w="1460" w:type="dxa"/>
            <w:vAlign w:val="bottom"/>
            <w:gridSpan w:val="3"/>
          </w:tcPr>
          <w:p>
            <w:pPr>
              <w:jc w:val="center"/>
              <w:ind w:right="420"/>
              <w:spacing w:after="0" w:line="155" w:lineRule="exact"/>
              <w:rPr>
                <w:sz w:val="20"/>
                <w:szCs w:val="20"/>
                <w:color w:val="auto"/>
              </w:rPr>
            </w:pPr>
            <w:r>
              <w:rPr>
                <w:rFonts w:ascii="Times New Roman" w:cs="Times New Roman" w:eastAsia="Times New Roman" w:hAnsi="Times New Roman"/>
                <w:sz w:val="14"/>
                <w:szCs w:val="14"/>
                <w:color w:val="auto"/>
              </w:rPr>
              <w:t>RMB</w:t>
            </w:r>
          </w:p>
        </w:tc>
        <w:tc>
          <w:tcPr>
            <w:tcW w:w="800" w:type="dxa"/>
            <w:vAlign w:val="bottom"/>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US$</w:t>
            </w:r>
          </w:p>
        </w:tc>
        <w:tc>
          <w:tcPr>
            <w:tcW w:w="220" w:type="dxa"/>
            <w:vAlign w:val="bottom"/>
          </w:tcPr>
          <w:p>
            <w:pPr>
              <w:spacing w:after="0"/>
              <w:rPr>
                <w:sz w:val="13"/>
                <w:szCs w:val="13"/>
                <w:color w:val="auto"/>
              </w:rPr>
            </w:pPr>
          </w:p>
        </w:tc>
        <w:tc>
          <w:tcPr>
            <w:tcW w:w="1000" w:type="dxa"/>
            <w:vAlign w:val="bottom"/>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rPr>
              <w:t>RMB</w:t>
            </w:r>
          </w:p>
        </w:tc>
        <w:tc>
          <w:tcPr>
            <w:tcW w:w="220" w:type="dxa"/>
            <w:vAlign w:val="bottom"/>
          </w:tcPr>
          <w:p>
            <w:pPr>
              <w:spacing w:after="0"/>
              <w:rPr>
                <w:sz w:val="13"/>
                <w:szCs w:val="13"/>
                <w:color w:val="auto"/>
              </w:rPr>
            </w:pPr>
          </w:p>
        </w:tc>
        <w:tc>
          <w:tcPr>
            <w:tcW w:w="1520" w:type="dxa"/>
            <w:vAlign w:val="bottom"/>
            <w:gridSpan w:val="3"/>
          </w:tcPr>
          <w:p>
            <w:pPr>
              <w:jc w:val="center"/>
              <w:ind w:right="520"/>
              <w:spacing w:after="0" w:line="155" w:lineRule="exact"/>
              <w:rPr>
                <w:sz w:val="20"/>
                <w:szCs w:val="20"/>
                <w:color w:val="auto"/>
              </w:rPr>
            </w:pPr>
            <w:r>
              <w:rPr>
                <w:rFonts w:ascii="Times New Roman" w:cs="Times New Roman" w:eastAsia="Times New Roman" w:hAnsi="Times New Roman"/>
                <w:sz w:val="14"/>
                <w:szCs w:val="14"/>
                <w:color w:val="auto"/>
              </w:rPr>
              <w:t>RMB</w:t>
            </w:r>
          </w:p>
        </w:tc>
        <w:tc>
          <w:tcPr>
            <w:tcW w:w="700" w:type="dxa"/>
            <w:vAlign w:val="bottom"/>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rPr>
              <w:t>US$</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0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Company owned and operated stores</w:t>
            </w:r>
          </w:p>
        </w:tc>
        <w:tc>
          <w:tcPr>
            <w:tcW w:w="12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213,653</w:t>
            </w:r>
          </w:p>
        </w:tc>
        <w:tc>
          <w:tcPr>
            <w:tcW w:w="12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272,509</w:t>
            </w:r>
          </w:p>
        </w:tc>
        <w:tc>
          <w:tcPr>
            <w:tcW w:w="200" w:type="dxa"/>
            <w:vAlign w:val="bottom"/>
          </w:tcPr>
          <w:p>
            <w:pPr>
              <w:spacing w:after="0"/>
              <w:rPr>
                <w:sz w:val="12"/>
                <w:szCs w:val="12"/>
                <w:color w:val="auto"/>
              </w:rPr>
            </w:pPr>
          </w:p>
        </w:tc>
        <w:tc>
          <w:tcPr>
            <w:tcW w:w="10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39,510</w:t>
            </w:r>
          </w:p>
        </w:tc>
        <w:tc>
          <w:tcPr>
            <w:tcW w:w="12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617,226</w:t>
            </w:r>
          </w:p>
        </w:tc>
        <w:tc>
          <w:tcPr>
            <w:tcW w:w="122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938,097</w:t>
            </w:r>
          </w:p>
        </w:tc>
        <w:tc>
          <w:tcPr>
            <w:tcW w:w="3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136,011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revenues</w:t>
            </w:r>
          </w:p>
        </w:tc>
        <w:tc>
          <w:tcPr>
            <w:tcW w:w="12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10,322</w:t>
            </w:r>
          </w:p>
        </w:tc>
        <w:tc>
          <w:tcPr>
            <w:tcW w:w="12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28,972</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4,201</w:t>
            </w:r>
          </w:p>
        </w:tc>
        <w:tc>
          <w:tcPr>
            <w:tcW w:w="12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26,146</w:t>
            </w:r>
          </w:p>
        </w:tc>
        <w:tc>
          <w:tcPr>
            <w:tcW w:w="12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72,967</w:t>
            </w:r>
          </w:p>
        </w:tc>
        <w:tc>
          <w:tcPr>
            <w:tcW w:w="3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10,579</w:t>
            </w:r>
          </w:p>
        </w:tc>
        <w:tc>
          <w:tcPr>
            <w:tcW w:w="0" w:type="dxa"/>
            <w:vAlign w:val="bottom"/>
          </w:tcPr>
          <w:p>
            <w:pPr>
              <w:spacing w:after="0"/>
              <w:rPr>
                <w:sz w:val="1"/>
                <w:szCs w:val="1"/>
                <w:color w:val="auto"/>
              </w:rPr>
            </w:pPr>
          </w:p>
        </w:tc>
      </w:tr>
      <w:tr>
        <w:trPr>
          <w:trHeight w:val="142"/>
        </w:trPr>
        <w:tc>
          <w:tcPr>
            <w:tcW w:w="39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223,975</w:t>
            </w:r>
          </w:p>
        </w:tc>
        <w:tc>
          <w:tcPr>
            <w:tcW w:w="240" w:type="dxa"/>
            <w:vAlign w:val="bottom"/>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301,481</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43,711</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643,372</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1,011,064</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146,590</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Costs and expenses, net</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Company owned and operated stores</w:t>
            </w: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Food and packaging (including cost of Company owned and</w:t>
            </w: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operated stores from transactions with a related party of</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RMB36,862,860 and RMB19,521,561 for the years ended</w:t>
            </w:r>
          </w:p>
        </w:tc>
        <w:tc>
          <w:tcPr>
            <w:tcW w:w="12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71,596</w:t>
            </w:r>
          </w:p>
        </w:tc>
        <w:tc>
          <w:tcPr>
            <w:tcW w:w="12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89,480</w:t>
            </w:r>
          </w:p>
        </w:tc>
        <w:tc>
          <w:tcPr>
            <w:tcW w:w="200" w:type="dxa"/>
            <w:vAlign w:val="bottom"/>
          </w:tcPr>
          <w:p>
            <w:pPr>
              <w:spacing w:after="0"/>
              <w:rPr>
                <w:sz w:val="12"/>
                <w:szCs w:val="12"/>
                <w:color w:val="auto"/>
              </w:rPr>
            </w:pPr>
          </w:p>
        </w:tc>
        <w:tc>
          <w:tcPr>
            <w:tcW w:w="10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12,973</w:t>
            </w:r>
          </w:p>
        </w:tc>
        <w:tc>
          <w:tcPr>
            <w:tcW w:w="12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207,948</w:t>
            </w:r>
          </w:p>
        </w:tc>
        <w:tc>
          <w:tcPr>
            <w:tcW w:w="12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314,550</w:t>
            </w:r>
          </w:p>
        </w:tc>
        <w:tc>
          <w:tcPr>
            <w:tcW w:w="300" w:type="dxa"/>
            <w:vAlign w:val="bottom"/>
          </w:tcPr>
          <w:p>
            <w:pPr>
              <w:spacing w:after="0"/>
              <w:rPr>
                <w:sz w:val="12"/>
                <w:szCs w:val="12"/>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45,606</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2022 and 2021, respectively)</w:t>
            </w:r>
          </w:p>
        </w:tc>
        <w:tc>
          <w:tcPr>
            <w:tcW w:w="128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Rental and property management fee</w:t>
            </w:r>
          </w:p>
        </w:tc>
        <w:tc>
          <w:tcPr>
            <w:tcW w:w="12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56,160</w:t>
            </w:r>
          </w:p>
        </w:tc>
        <w:tc>
          <w:tcPr>
            <w:tcW w:w="12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75,939</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11,010</w:t>
            </w:r>
          </w:p>
        </w:tc>
        <w:tc>
          <w:tcPr>
            <w:tcW w:w="12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148,152</w:t>
            </w:r>
          </w:p>
        </w:tc>
        <w:tc>
          <w:tcPr>
            <w:tcW w:w="122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236,838</w:t>
            </w:r>
          </w:p>
        </w:tc>
        <w:tc>
          <w:tcPr>
            <w:tcW w:w="3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34,338</w:t>
            </w: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Payroll and employee benefits</w:t>
            </w:r>
          </w:p>
        </w:tc>
        <w:tc>
          <w:tcPr>
            <w:tcW w:w="12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71,828</w:t>
            </w:r>
          </w:p>
        </w:tc>
        <w:tc>
          <w:tcPr>
            <w:tcW w:w="12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66,699</w:t>
            </w:r>
          </w:p>
        </w:tc>
        <w:tc>
          <w:tcPr>
            <w:tcW w:w="200" w:type="dxa"/>
            <w:vAlign w:val="bottom"/>
          </w:tcPr>
          <w:p>
            <w:pPr>
              <w:spacing w:after="0"/>
              <w:rPr>
                <w:sz w:val="12"/>
                <w:szCs w:val="12"/>
                <w:color w:val="auto"/>
              </w:rPr>
            </w:pPr>
          </w:p>
        </w:tc>
        <w:tc>
          <w:tcPr>
            <w:tcW w:w="10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9,670</w:t>
            </w:r>
          </w:p>
        </w:tc>
        <w:tc>
          <w:tcPr>
            <w:tcW w:w="12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199,330</w:t>
            </w:r>
          </w:p>
        </w:tc>
        <w:tc>
          <w:tcPr>
            <w:tcW w:w="122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268,857</w:t>
            </w:r>
          </w:p>
        </w:tc>
        <w:tc>
          <w:tcPr>
            <w:tcW w:w="30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38,981</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Delivery costs</w:t>
            </w:r>
          </w:p>
        </w:tc>
        <w:tc>
          <w:tcPr>
            <w:tcW w:w="12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13,926</w:t>
            </w:r>
          </w:p>
        </w:tc>
        <w:tc>
          <w:tcPr>
            <w:tcW w:w="12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21,917</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3,178</w:t>
            </w:r>
          </w:p>
        </w:tc>
        <w:tc>
          <w:tcPr>
            <w:tcW w:w="12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38,604</w:t>
            </w:r>
          </w:p>
        </w:tc>
        <w:tc>
          <w:tcPr>
            <w:tcW w:w="122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73,616</w:t>
            </w:r>
          </w:p>
        </w:tc>
        <w:tc>
          <w:tcPr>
            <w:tcW w:w="3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10,673</w:t>
            </w: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operating expenses (including service fee from transactions</w:t>
            </w: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with a related party of RMB550,000 and nil for the years ended</w:t>
            </w:r>
          </w:p>
        </w:tc>
        <w:tc>
          <w:tcPr>
            <w:tcW w:w="12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27,962</w:t>
            </w:r>
          </w:p>
        </w:tc>
        <w:tc>
          <w:tcPr>
            <w:tcW w:w="12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23,106</w:t>
            </w:r>
          </w:p>
        </w:tc>
        <w:tc>
          <w:tcPr>
            <w:tcW w:w="200" w:type="dxa"/>
            <w:vAlign w:val="bottom"/>
          </w:tcPr>
          <w:p>
            <w:pPr>
              <w:spacing w:after="0"/>
              <w:rPr>
                <w:sz w:val="12"/>
                <w:szCs w:val="12"/>
                <w:color w:val="auto"/>
              </w:rPr>
            </w:pPr>
          </w:p>
        </w:tc>
        <w:tc>
          <w:tcPr>
            <w:tcW w:w="10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3,350</w:t>
            </w:r>
          </w:p>
        </w:tc>
        <w:tc>
          <w:tcPr>
            <w:tcW w:w="12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99,105</w:t>
            </w:r>
          </w:p>
        </w:tc>
        <w:tc>
          <w:tcPr>
            <w:tcW w:w="12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107,770</w:t>
            </w:r>
          </w:p>
        </w:tc>
        <w:tc>
          <w:tcPr>
            <w:tcW w:w="300" w:type="dxa"/>
            <w:vAlign w:val="bottom"/>
          </w:tcPr>
          <w:p>
            <w:pPr>
              <w:spacing w:after="0"/>
              <w:rPr>
                <w:sz w:val="12"/>
                <w:szCs w:val="12"/>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15,625</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2022 and 2021, respectively)</w:t>
            </w:r>
          </w:p>
        </w:tc>
        <w:tc>
          <w:tcPr>
            <w:tcW w:w="128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Store depreciation and amortization</w:t>
            </w:r>
          </w:p>
        </w:tc>
        <w:tc>
          <w:tcPr>
            <w:tcW w:w="12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20,986</w:t>
            </w:r>
          </w:p>
        </w:tc>
        <w:tc>
          <w:tcPr>
            <w:tcW w:w="12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33,544</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4,863</w:t>
            </w:r>
          </w:p>
        </w:tc>
        <w:tc>
          <w:tcPr>
            <w:tcW w:w="12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62,679</w:t>
            </w:r>
          </w:p>
        </w:tc>
        <w:tc>
          <w:tcPr>
            <w:tcW w:w="12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118,659</w:t>
            </w:r>
          </w:p>
        </w:tc>
        <w:tc>
          <w:tcPr>
            <w:tcW w:w="3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17,204</w:t>
            </w:r>
          </w:p>
        </w:tc>
        <w:tc>
          <w:tcPr>
            <w:tcW w:w="0" w:type="dxa"/>
            <w:vAlign w:val="bottom"/>
          </w:tcPr>
          <w:p>
            <w:pPr>
              <w:spacing w:after="0"/>
              <w:rPr>
                <w:sz w:val="1"/>
                <w:szCs w:val="1"/>
                <w:color w:val="auto"/>
              </w:rPr>
            </w:pPr>
          </w:p>
        </w:tc>
      </w:tr>
      <w:tr>
        <w:trPr>
          <w:trHeight w:val="142"/>
        </w:trPr>
        <w:tc>
          <w:tcPr>
            <w:tcW w:w="39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Company owned and operated store costs and expenses</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262,458</w:t>
            </w:r>
          </w:p>
        </w:tc>
        <w:tc>
          <w:tcPr>
            <w:tcW w:w="240" w:type="dxa"/>
            <w:vAlign w:val="bottom"/>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310,685</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45,044</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755,818</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1,120,290</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162,427</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Costs of other revenues</w:t>
            </w:r>
          </w:p>
        </w:tc>
        <w:tc>
          <w:tcPr>
            <w:tcW w:w="12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6,529</w:t>
            </w:r>
          </w:p>
        </w:tc>
        <w:tc>
          <w:tcPr>
            <w:tcW w:w="12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22,109</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3,206</w:t>
            </w:r>
          </w:p>
        </w:tc>
        <w:tc>
          <w:tcPr>
            <w:tcW w:w="12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16,731</w:t>
            </w:r>
          </w:p>
        </w:tc>
        <w:tc>
          <w:tcPr>
            <w:tcW w:w="122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48,555</w:t>
            </w:r>
          </w:p>
        </w:tc>
        <w:tc>
          <w:tcPr>
            <w:tcW w:w="3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7,040</w:t>
            </w: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Marketing expenses</w:t>
            </w:r>
          </w:p>
        </w:tc>
        <w:tc>
          <w:tcPr>
            <w:tcW w:w="12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20,527</w:t>
            </w:r>
          </w:p>
        </w:tc>
        <w:tc>
          <w:tcPr>
            <w:tcW w:w="12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24,302</w:t>
            </w:r>
          </w:p>
        </w:tc>
        <w:tc>
          <w:tcPr>
            <w:tcW w:w="200" w:type="dxa"/>
            <w:vAlign w:val="bottom"/>
          </w:tcPr>
          <w:p>
            <w:pPr>
              <w:spacing w:after="0"/>
              <w:rPr>
                <w:sz w:val="12"/>
                <w:szCs w:val="12"/>
                <w:color w:val="auto"/>
              </w:rPr>
            </w:pPr>
          </w:p>
        </w:tc>
        <w:tc>
          <w:tcPr>
            <w:tcW w:w="10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3,523</w:t>
            </w:r>
          </w:p>
        </w:tc>
        <w:tc>
          <w:tcPr>
            <w:tcW w:w="12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50,317</w:t>
            </w:r>
          </w:p>
        </w:tc>
        <w:tc>
          <w:tcPr>
            <w:tcW w:w="122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81,017</w:t>
            </w:r>
          </w:p>
        </w:tc>
        <w:tc>
          <w:tcPr>
            <w:tcW w:w="3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2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58,558</w:t>
            </w:r>
          </w:p>
        </w:tc>
        <w:tc>
          <w:tcPr>
            <w:tcW w:w="12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66,460</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9,636</w:t>
            </w:r>
          </w:p>
        </w:tc>
        <w:tc>
          <w:tcPr>
            <w:tcW w:w="12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174,963</w:t>
            </w:r>
          </w:p>
        </w:tc>
        <w:tc>
          <w:tcPr>
            <w:tcW w:w="122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289,544</w:t>
            </w:r>
          </w:p>
        </w:tc>
        <w:tc>
          <w:tcPr>
            <w:tcW w:w="3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41,979</w:t>
            </w: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Franchise and royalty expenses (including franchise and royalty</w:t>
            </w: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expenses from transactions with a related party of</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RMB31,882,569 and RMB15,576,324 for the years ended</w:t>
            </w:r>
          </w:p>
        </w:tc>
        <w:tc>
          <w:tcPr>
            <w:tcW w:w="12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5,345</w:t>
            </w:r>
          </w:p>
        </w:tc>
        <w:tc>
          <w:tcPr>
            <w:tcW w:w="12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10,294</w:t>
            </w:r>
          </w:p>
        </w:tc>
        <w:tc>
          <w:tcPr>
            <w:tcW w:w="200" w:type="dxa"/>
            <w:vAlign w:val="bottom"/>
          </w:tcPr>
          <w:p>
            <w:pPr>
              <w:spacing w:after="0"/>
              <w:rPr>
                <w:sz w:val="12"/>
                <w:szCs w:val="12"/>
                <w:color w:val="auto"/>
              </w:rPr>
            </w:pPr>
          </w:p>
        </w:tc>
        <w:tc>
          <w:tcPr>
            <w:tcW w:w="10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1,492</w:t>
            </w:r>
          </w:p>
        </w:tc>
        <w:tc>
          <w:tcPr>
            <w:tcW w:w="12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18,800</w:t>
            </w:r>
          </w:p>
        </w:tc>
        <w:tc>
          <w:tcPr>
            <w:tcW w:w="12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35,595</w:t>
            </w:r>
          </w:p>
        </w:tc>
        <w:tc>
          <w:tcPr>
            <w:tcW w:w="300" w:type="dxa"/>
            <w:vAlign w:val="bottom"/>
          </w:tcPr>
          <w:p>
            <w:pPr>
              <w:spacing w:after="0"/>
              <w:rPr>
                <w:sz w:val="12"/>
                <w:szCs w:val="12"/>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5,161</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2022 and 2021, respectively)</w:t>
            </w:r>
          </w:p>
        </w:tc>
        <w:tc>
          <w:tcPr>
            <w:tcW w:w="128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operating costs and expenses</w:t>
            </w:r>
          </w:p>
        </w:tc>
        <w:tc>
          <w:tcPr>
            <w:tcW w:w="12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1,645</w:t>
            </w:r>
          </w:p>
        </w:tc>
        <w:tc>
          <w:tcPr>
            <w:tcW w:w="12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2,395</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12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2,135</w:t>
            </w:r>
          </w:p>
        </w:tc>
        <w:tc>
          <w:tcPr>
            <w:tcW w:w="122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8,340</w:t>
            </w:r>
          </w:p>
        </w:tc>
        <w:tc>
          <w:tcPr>
            <w:tcW w:w="3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2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414</w:t>
            </w:r>
          </w:p>
        </w:tc>
        <w:tc>
          <w:tcPr>
            <w:tcW w:w="12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1,546</w:t>
            </w:r>
          </w:p>
        </w:tc>
        <w:tc>
          <w:tcPr>
            <w:tcW w:w="122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8,835</w:t>
            </w:r>
          </w:p>
        </w:tc>
        <w:tc>
          <w:tcPr>
            <w:tcW w:w="30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1,281</w:t>
            </w: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Impairment losses of long-lived assets</w:t>
            </w:r>
          </w:p>
        </w:tc>
        <w:tc>
          <w:tcPr>
            <w:tcW w:w="12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1,002</w:t>
            </w:r>
          </w:p>
        </w:tc>
        <w:tc>
          <w:tcPr>
            <w:tcW w:w="12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1,750</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12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1,002</w:t>
            </w:r>
          </w:p>
        </w:tc>
        <w:tc>
          <w:tcPr>
            <w:tcW w:w="122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7,223</w:t>
            </w:r>
          </w:p>
        </w:tc>
        <w:tc>
          <w:tcPr>
            <w:tcW w:w="3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3,157</w:t>
            </w: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5,153</w:t>
            </w:r>
          </w:p>
        </w:tc>
        <w:tc>
          <w:tcPr>
            <w:tcW w:w="20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747</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3,476</w:t>
            </w:r>
          </w:p>
        </w:tc>
        <w:tc>
          <w:tcPr>
            <w:tcW w:w="12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7,152</w:t>
            </w:r>
          </w:p>
        </w:tc>
        <w:tc>
          <w:tcPr>
            <w:tcW w:w="30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1,037</w:t>
            </w:r>
          </w:p>
        </w:tc>
        <w:tc>
          <w:tcPr>
            <w:tcW w:w="0" w:type="dxa"/>
            <w:vAlign w:val="bottom"/>
          </w:tcPr>
          <w:p>
            <w:pPr>
              <w:spacing w:after="0"/>
              <w:rPr>
                <w:sz w:val="1"/>
                <w:szCs w:val="1"/>
                <w:color w:val="auto"/>
              </w:rPr>
            </w:pPr>
          </w:p>
        </w:tc>
      </w:tr>
      <w:tr>
        <w:trPr>
          <w:trHeight w:val="142"/>
        </w:trPr>
        <w:tc>
          <w:tcPr>
            <w:tcW w:w="39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costs and expenses, net</w:t>
            </w: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353,321</w:t>
            </w:r>
          </w:p>
        </w:tc>
        <w:tc>
          <w:tcPr>
            <w:tcW w:w="2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432,842</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62,755</w:t>
            </w: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1,017,836</w:t>
            </w: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1,592,247</w:t>
            </w: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230,853</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loss</w:t>
            </w:r>
          </w:p>
        </w:tc>
        <w:tc>
          <w:tcPr>
            <w:tcW w:w="12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(129,346)</w:t>
            </w:r>
          </w:p>
        </w:tc>
        <w:tc>
          <w:tcPr>
            <w:tcW w:w="126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(131,361)</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(19,044)</w:t>
            </w:r>
          </w:p>
        </w:tc>
        <w:tc>
          <w:tcPr>
            <w:tcW w:w="12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(374,464)</w:t>
            </w:r>
          </w:p>
        </w:tc>
        <w:tc>
          <w:tcPr>
            <w:tcW w:w="122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(581,183)</w:t>
            </w:r>
          </w:p>
        </w:tc>
        <w:tc>
          <w:tcPr>
            <w:tcW w:w="3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(84,263)</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2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2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1,727</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2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122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2,703</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expenses</w:t>
            </w:r>
          </w:p>
        </w:tc>
        <w:tc>
          <w:tcPr>
            <w:tcW w:w="12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12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(4,524)</w:t>
            </w:r>
          </w:p>
        </w:tc>
        <w:tc>
          <w:tcPr>
            <w:tcW w:w="200" w:type="dxa"/>
            <w:vAlign w:val="bottom"/>
          </w:tcPr>
          <w:p>
            <w:pPr>
              <w:spacing w:after="0"/>
              <w:rPr>
                <w:sz w:val="12"/>
                <w:szCs w:val="12"/>
                <w:color w:val="auto"/>
              </w:rPr>
            </w:pPr>
          </w:p>
        </w:tc>
        <w:tc>
          <w:tcPr>
            <w:tcW w:w="10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12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(1,902)</w:t>
            </w:r>
          </w:p>
        </w:tc>
        <w:tc>
          <w:tcPr>
            <w:tcW w:w="122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(14,804)</w:t>
            </w:r>
          </w:p>
        </w:tc>
        <w:tc>
          <w:tcPr>
            <w:tcW w:w="30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(2,146)</w:t>
            </w: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transaction (loss)/gain</w:t>
            </w:r>
          </w:p>
        </w:tc>
        <w:tc>
          <w:tcPr>
            <w:tcW w:w="12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126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(5,142)</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(746)</w:t>
            </w:r>
          </w:p>
        </w:tc>
        <w:tc>
          <w:tcPr>
            <w:tcW w:w="12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(1,302)</w:t>
            </w:r>
          </w:p>
        </w:tc>
        <w:tc>
          <w:tcPr>
            <w:tcW w:w="122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(6,275)</w:t>
            </w:r>
          </w:p>
        </w:tc>
        <w:tc>
          <w:tcPr>
            <w:tcW w:w="3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fair value of convertible notes</w:t>
            </w:r>
          </w:p>
        </w:tc>
        <w:tc>
          <w:tcPr>
            <w:tcW w:w="12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(5,577)</w:t>
            </w:r>
          </w:p>
        </w:tc>
        <w:tc>
          <w:tcPr>
            <w:tcW w:w="12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(2,867)</w:t>
            </w:r>
          </w:p>
        </w:tc>
        <w:tc>
          <w:tcPr>
            <w:tcW w:w="200" w:type="dxa"/>
            <w:vAlign w:val="bottom"/>
          </w:tcPr>
          <w:p>
            <w:pPr>
              <w:spacing w:after="0"/>
              <w:rPr>
                <w:sz w:val="12"/>
                <w:szCs w:val="12"/>
                <w:color w:val="auto"/>
              </w:rPr>
            </w:pPr>
          </w:p>
        </w:tc>
        <w:tc>
          <w:tcPr>
            <w:tcW w:w="10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12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(5,577)</w:t>
            </w:r>
          </w:p>
        </w:tc>
        <w:tc>
          <w:tcPr>
            <w:tcW w:w="122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(4,494)</w:t>
            </w:r>
          </w:p>
        </w:tc>
        <w:tc>
          <w:tcPr>
            <w:tcW w:w="30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Changes in fair value of warrant liabilities</w:t>
            </w:r>
          </w:p>
        </w:tc>
        <w:tc>
          <w:tcPr>
            <w:tcW w:w="12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35,954</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5,213</w:t>
            </w:r>
          </w:p>
        </w:tc>
        <w:tc>
          <w:tcPr>
            <w:tcW w:w="12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45,903</w:t>
            </w:r>
          </w:p>
        </w:tc>
        <w:tc>
          <w:tcPr>
            <w:tcW w:w="3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6,655</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Changes in fair value of ESA derivative liabilities</w:t>
            </w: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(116,666)</w:t>
            </w:r>
          </w:p>
        </w:tc>
        <w:tc>
          <w:tcPr>
            <w:tcW w:w="20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(16,915)</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(186,598)</w:t>
            </w:r>
          </w:p>
        </w:tc>
        <w:tc>
          <w:tcPr>
            <w:tcW w:w="30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(27,054)</w:t>
            </w:r>
          </w:p>
        </w:tc>
        <w:tc>
          <w:tcPr>
            <w:tcW w:w="0" w:type="dxa"/>
            <w:vAlign w:val="bottom"/>
          </w:tcPr>
          <w:p>
            <w:pPr>
              <w:spacing w:after="0"/>
              <w:rPr>
                <w:sz w:val="1"/>
                <w:szCs w:val="1"/>
                <w:color w:val="auto"/>
              </w:rPr>
            </w:pPr>
          </w:p>
        </w:tc>
      </w:tr>
      <w:tr>
        <w:trPr>
          <w:trHeight w:val="142"/>
        </w:trPr>
        <w:tc>
          <w:tcPr>
            <w:tcW w:w="39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before income taxes</w:t>
            </w:r>
          </w:p>
        </w:tc>
        <w:tc>
          <w:tcPr>
            <w:tcW w:w="12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(137,007)</w:t>
            </w:r>
          </w:p>
        </w:tc>
        <w:tc>
          <w:tcPr>
            <w:tcW w:w="12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(222,879)</w:t>
            </w:r>
          </w:p>
        </w:tc>
        <w:tc>
          <w:tcPr>
            <w:tcW w:w="200" w:type="dxa"/>
            <w:vAlign w:val="bottom"/>
          </w:tcPr>
          <w:p>
            <w:pPr>
              <w:spacing w:after="0"/>
              <w:rPr>
                <w:sz w:val="12"/>
                <w:szCs w:val="12"/>
                <w:color w:val="auto"/>
              </w:rPr>
            </w:pPr>
          </w:p>
        </w:tc>
        <w:tc>
          <w:tcPr>
            <w:tcW w:w="10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(32,314)</w:t>
            </w:r>
          </w:p>
        </w:tc>
        <w:tc>
          <w:tcPr>
            <w:tcW w:w="12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(382,929)</w:t>
            </w:r>
          </w:p>
        </w:tc>
        <w:tc>
          <w:tcPr>
            <w:tcW w:w="122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(744,748)</w:t>
            </w:r>
          </w:p>
        </w:tc>
        <w:tc>
          <w:tcPr>
            <w:tcW w:w="30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(107,978)</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expenses</w:t>
            </w: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(137,007)</w:t>
            </w:r>
          </w:p>
        </w:tc>
        <w:tc>
          <w:tcPr>
            <w:tcW w:w="12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(222,879)</w:t>
            </w:r>
          </w:p>
        </w:tc>
        <w:tc>
          <w:tcPr>
            <w:tcW w:w="200" w:type="dxa"/>
            <w:vAlign w:val="bottom"/>
          </w:tcPr>
          <w:p>
            <w:pPr>
              <w:spacing w:after="0"/>
              <w:rPr>
                <w:sz w:val="12"/>
                <w:szCs w:val="12"/>
                <w:color w:val="auto"/>
              </w:rPr>
            </w:pPr>
          </w:p>
        </w:tc>
        <w:tc>
          <w:tcPr>
            <w:tcW w:w="10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(32,314)</w:t>
            </w:r>
          </w:p>
        </w:tc>
        <w:tc>
          <w:tcPr>
            <w:tcW w:w="12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(382,929)</w:t>
            </w:r>
          </w:p>
        </w:tc>
        <w:tc>
          <w:tcPr>
            <w:tcW w:w="122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(744,748)</w:t>
            </w:r>
          </w:p>
        </w:tc>
        <w:tc>
          <w:tcPr>
            <w:tcW w:w="30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(107,978)</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1,324</w:t>
            </w: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988</w:t>
            </w:r>
          </w:p>
        </w:tc>
        <w:tc>
          <w:tcPr>
            <w:tcW w:w="20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143</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(1,208)</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(2,103)</w:t>
            </w:r>
          </w:p>
        </w:tc>
        <w:tc>
          <w:tcPr>
            <w:tcW w:w="30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42"/>
        </w:trPr>
        <w:tc>
          <w:tcPr>
            <w:tcW w:w="39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Loss attributable to shareholders of the Company</w:t>
            </w: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(138,331</w:t>
            </w:r>
          </w:p>
        </w:tc>
        <w:tc>
          <w:tcPr>
            <w:tcW w:w="24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(223,867</w:t>
            </w:r>
          </w:p>
        </w:tc>
        <w:tc>
          <w:tcPr>
            <w:tcW w:w="24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(32,457</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(381,721</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(742,645</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(107,673</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5"/>
        </w:trPr>
        <w:tc>
          <w:tcPr>
            <w:tcW w:w="394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Basic and diluted loss per Ordinary Share</w:t>
            </w:r>
          </w:p>
        </w:tc>
        <w:tc>
          <w:tcPr>
            <w:tcW w:w="10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(1.11</w:t>
            </w:r>
          </w:p>
        </w:tc>
        <w:tc>
          <w:tcPr>
            <w:tcW w:w="24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(1.61</w:t>
            </w:r>
          </w:p>
        </w:tc>
        <w:tc>
          <w:tcPr>
            <w:tcW w:w="240" w:type="dxa"/>
            <w:vAlign w:val="bottom"/>
            <w:tcBorders>
              <w:bottom w:val="single" w:sz="8" w:color="CCEEFF"/>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(0.23</w:t>
            </w:r>
          </w:p>
        </w:tc>
        <w:tc>
          <w:tcPr>
            <w:tcW w:w="220" w:type="dxa"/>
            <w:vAlign w:val="bottom"/>
            <w:tcBorders>
              <w:bottom w:val="single" w:sz="8" w:color="CCEEFF"/>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(3.14</w:t>
            </w:r>
          </w:p>
        </w:tc>
        <w:tc>
          <w:tcPr>
            <w:tcW w:w="220" w:type="dxa"/>
            <w:vAlign w:val="bottom"/>
            <w:tcBorders>
              <w:bottom w:val="single" w:sz="8" w:color="CCEEFF"/>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(5.80</w:t>
            </w:r>
          </w:p>
        </w:tc>
        <w:tc>
          <w:tcPr>
            <w:tcW w:w="22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(0.84</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29"/>
        </w:trPr>
        <w:tc>
          <w:tcPr>
            <w:tcW w:w="39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(137,007)</w:t>
            </w:r>
          </w:p>
        </w:tc>
        <w:tc>
          <w:tcPr>
            <w:tcW w:w="12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(222,879)</w:t>
            </w:r>
          </w:p>
        </w:tc>
        <w:tc>
          <w:tcPr>
            <w:tcW w:w="200" w:type="dxa"/>
            <w:vAlign w:val="bottom"/>
          </w:tcPr>
          <w:p>
            <w:pPr>
              <w:spacing w:after="0"/>
              <w:rPr>
                <w:sz w:val="12"/>
                <w:szCs w:val="12"/>
                <w:color w:val="auto"/>
              </w:rPr>
            </w:pPr>
          </w:p>
        </w:tc>
        <w:tc>
          <w:tcPr>
            <w:tcW w:w="10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(32,314)</w:t>
            </w:r>
          </w:p>
        </w:tc>
        <w:tc>
          <w:tcPr>
            <w:tcW w:w="12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(382,929)</w:t>
            </w:r>
          </w:p>
        </w:tc>
        <w:tc>
          <w:tcPr>
            <w:tcW w:w="122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(744,748)</w:t>
            </w:r>
          </w:p>
        </w:tc>
        <w:tc>
          <w:tcPr>
            <w:tcW w:w="30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(107,978)</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Fair value changes of short-term inverstment</w:t>
            </w: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2,134</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2,134</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changes of convertible notes due to instrument-specific</w:t>
            </w:r>
          </w:p>
        </w:tc>
        <w:tc>
          <w:tcPr>
            <w:tcW w:w="12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(548)</w:t>
            </w:r>
          </w:p>
        </w:tc>
        <w:tc>
          <w:tcPr>
            <w:tcW w:w="12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505</w:t>
            </w:r>
          </w:p>
        </w:tc>
        <w:tc>
          <w:tcPr>
            <w:tcW w:w="200" w:type="dxa"/>
            <w:vAlign w:val="bottom"/>
          </w:tcPr>
          <w:p>
            <w:pPr>
              <w:spacing w:after="0"/>
              <w:rPr>
                <w:sz w:val="10"/>
                <w:szCs w:val="10"/>
                <w:color w:val="auto"/>
              </w:rPr>
            </w:pPr>
          </w:p>
        </w:tc>
        <w:tc>
          <w:tcPr>
            <w:tcW w:w="10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73</w:t>
            </w:r>
          </w:p>
        </w:tc>
        <w:tc>
          <w:tcPr>
            <w:tcW w:w="12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(548)</w:t>
            </w:r>
          </w:p>
        </w:tc>
        <w:tc>
          <w:tcPr>
            <w:tcW w:w="122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(1,520)</w:t>
            </w:r>
          </w:p>
        </w:tc>
        <w:tc>
          <w:tcPr>
            <w:tcW w:w="300" w:type="dxa"/>
            <w:vAlign w:val="bottom"/>
          </w:tcPr>
          <w:p>
            <w:pPr>
              <w:spacing w:after="0"/>
              <w:rPr>
                <w:sz w:val="10"/>
                <w:szCs w:val="10"/>
                <w:color w:val="auto"/>
              </w:rPr>
            </w:pPr>
          </w:p>
        </w:tc>
        <w:tc>
          <w:tcPr>
            <w:tcW w:w="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credit risk, net of nil income taxes</w:t>
            </w:r>
          </w:p>
        </w:tc>
        <w:tc>
          <w:tcPr>
            <w:tcW w:w="128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 net of nil income taxes</w:t>
            </w:r>
          </w:p>
        </w:tc>
        <w:tc>
          <w:tcPr>
            <w:tcW w:w="12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(2,114)</w:t>
            </w:r>
          </w:p>
        </w:tc>
        <w:tc>
          <w:tcPr>
            <w:tcW w:w="12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5,272</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764</w:t>
            </w:r>
          </w:p>
        </w:tc>
        <w:tc>
          <w:tcPr>
            <w:tcW w:w="12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(2,890)</w:t>
            </w:r>
          </w:p>
        </w:tc>
        <w:tc>
          <w:tcPr>
            <w:tcW w:w="1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(19,357)</w:t>
            </w:r>
          </w:p>
        </w:tc>
        <w:tc>
          <w:tcPr>
            <w:tcW w:w="3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(2,807)</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comprehensive loss</w:t>
            </w:r>
          </w:p>
        </w:tc>
        <w:tc>
          <w:tcPr>
            <w:tcW w:w="12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(139,669)</w:t>
            </w:r>
          </w:p>
        </w:tc>
        <w:tc>
          <w:tcPr>
            <w:tcW w:w="126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(214,968)</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(31,477)</w:t>
            </w:r>
          </w:p>
        </w:tc>
        <w:tc>
          <w:tcPr>
            <w:tcW w:w="12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(386,367)</w:t>
            </w:r>
          </w:p>
        </w:tc>
        <w:tc>
          <w:tcPr>
            <w:tcW w:w="122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(763,491)</w:t>
            </w:r>
          </w:p>
        </w:tc>
        <w:tc>
          <w:tcPr>
            <w:tcW w:w="3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(110,696)</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Less: Comprehensive loss attributable to non- controlling</w:t>
            </w: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interests</w:t>
            </w:r>
          </w:p>
        </w:tc>
        <w:tc>
          <w:tcPr>
            <w:tcW w:w="12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1,324</w:t>
            </w:r>
          </w:p>
        </w:tc>
        <w:tc>
          <w:tcPr>
            <w:tcW w:w="12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988</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143</w:t>
            </w:r>
          </w:p>
        </w:tc>
        <w:tc>
          <w:tcPr>
            <w:tcW w:w="12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(1,208)</w:t>
            </w:r>
          </w:p>
        </w:tc>
        <w:tc>
          <w:tcPr>
            <w:tcW w:w="1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(2,103)</w:t>
            </w:r>
          </w:p>
        </w:tc>
        <w:tc>
          <w:tcPr>
            <w:tcW w:w="3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42"/>
        </w:trPr>
        <w:tc>
          <w:tcPr>
            <w:tcW w:w="39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Comprehensive loss attributable to shareholders of the Company</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(140,993</w:t>
            </w:r>
          </w:p>
        </w:tc>
        <w:tc>
          <w:tcPr>
            <w:tcW w:w="24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(215,956</w:t>
            </w:r>
          </w:p>
        </w:tc>
        <w:tc>
          <w:tcPr>
            <w:tcW w:w="24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(31,620</w:t>
            </w:r>
          </w:p>
        </w:tc>
        <w:tc>
          <w:tcPr>
            <w:tcW w:w="2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(385,159</w:t>
            </w:r>
          </w:p>
        </w:tc>
        <w:tc>
          <w:tcPr>
            <w:tcW w:w="2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(761,388</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(110,391</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425"/>
        </w:trPr>
        <w:tc>
          <w:tcPr>
            <w:tcW w:w="3940" w:type="dxa"/>
            <w:vAlign w:val="bottom"/>
            <w:tcBorders>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61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TH INTERNATIONAL LIMITED AND SUBSIDIARIES UNAUDITED CONDENSED CONSOLIDATED STATEMENTS OF CASH FLOWS (Amounts in thousands of RMB and 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7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color w:val="auto"/>
              </w:rPr>
              <w:t>For the three months ended December 31,</w:t>
            </w:r>
          </w:p>
        </w:tc>
        <w:tc>
          <w:tcPr>
            <w:tcW w:w="35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color w:val="auto"/>
              </w:rPr>
              <w:t>For the year ended December 31,</w:t>
            </w:r>
          </w:p>
        </w:tc>
      </w:tr>
      <w:tr>
        <w:trPr>
          <w:trHeight w:val="223"/>
        </w:trPr>
        <w:tc>
          <w:tcPr>
            <w:tcW w:w="39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RMB</w:t>
            </w:r>
          </w:p>
        </w:tc>
        <w:tc>
          <w:tcPr>
            <w:tcW w:w="240" w:type="dxa"/>
            <w:vAlign w:val="bottom"/>
          </w:tcPr>
          <w:p>
            <w:pPr>
              <w:spacing w:after="0"/>
              <w:rPr>
                <w:sz w:val="19"/>
                <w:szCs w:val="19"/>
                <w:color w:val="auto"/>
              </w:rPr>
            </w:pPr>
          </w:p>
        </w:tc>
        <w:tc>
          <w:tcPr>
            <w:tcW w:w="14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RMB</w:t>
            </w: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RMB</w:t>
            </w:r>
          </w:p>
        </w:tc>
        <w:tc>
          <w:tcPr>
            <w:tcW w:w="220" w:type="dxa"/>
            <w:vAlign w:val="bottom"/>
          </w:tcPr>
          <w:p>
            <w:pPr>
              <w:spacing w:after="0"/>
              <w:rPr>
                <w:sz w:val="19"/>
                <w:szCs w:val="19"/>
                <w:color w:val="auto"/>
              </w:rPr>
            </w:pPr>
          </w:p>
        </w:tc>
        <w:tc>
          <w:tcPr>
            <w:tcW w:w="14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RMB</w:t>
            </w: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9"/>
                <w:szCs w:val="19"/>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(244,966)</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(286,928)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(114,274)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(93,737)</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(13,591)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(335,277)</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(705,172)</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(102,240)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427,941</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44,180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797,998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834,259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120,956</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exchange rate changes on</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2,288</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6,081</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256,438</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(20,787)</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215,964</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the period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134,400</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382,448</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55,450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174,874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390,837</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56,666</w:t>
            </w: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the period</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390,838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 INTERNATIONAL LIMITED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amounts in thousands of RMB and US$, except for number of shares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Adjusted store EBITDA and adjusted store EBITDA margin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76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color w:val="auto"/>
                <w:w w:val="99"/>
              </w:rPr>
              <w:t>For the three months ended December 31,</w:t>
            </w:r>
          </w:p>
        </w:tc>
        <w:tc>
          <w:tcPr>
            <w:tcW w:w="370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color w:val="auto"/>
                <w:w w:val="99"/>
              </w:rPr>
              <w:t>For the year ended December 31,</w:t>
            </w:r>
          </w:p>
        </w:tc>
      </w:tr>
      <w:tr>
        <w:trPr>
          <w:trHeight w:val="223"/>
        </w:trPr>
        <w:tc>
          <w:tcPr>
            <w:tcW w:w="37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RMB</w:t>
            </w:r>
          </w:p>
        </w:tc>
        <w:tc>
          <w:tcPr>
            <w:tcW w:w="260" w:type="dxa"/>
            <w:vAlign w:val="bottom"/>
          </w:tcPr>
          <w:p>
            <w:pPr>
              <w:spacing w:after="0"/>
              <w:rPr>
                <w:sz w:val="19"/>
                <w:szCs w:val="19"/>
                <w:color w:val="auto"/>
              </w:rPr>
            </w:pPr>
          </w:p>
        </w:tc>
        <w:tc>
          <w:tcPr>
            <w:tcW w:w="14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RMB</w:t>
            </w: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RMB</w:t>
            </w:r>
          </w:p>
        </w:tc>
        <w:tc>
          <w:tcPr>
            <w:tcW w:w="260" w:type="dxa"/>
            <w:vAlign w:val="bottom"/>
          </w:tcPr>
          <w:p>
            <w:pPr>
              <w:spacing w:after="0"/>
              <w:rPr>
                <w:sz w:val="19"/>
                <w:szCs w:val="19"/>
                <w:color w:val="auto"/>
              </w:rPr>
            </w:pP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RMB</w:t>
            </w: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19"/>
                <w:szCs w:val="19"/>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company owned and operated stores</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213,653</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272,509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39,510</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617,226</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938,097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136,011</w:t>
            </w:r>
          </w:p>
        </w:tc>
        <w:tc>
          <w:tcPr>
            <w:tcW w:w="160" w:type="dxa"/>
            <w:vAlign w:val="bottom"/>
            <w:tcBorders>
              <w:top w:val="single" w:sz="8" w:color="CCEEFF"/>
            </w:tcBorders>
            <w:shd w:val="clear" w:color="auto" w:fill="CCEEFF"/>
          </w:tcPr>
          <w:p>
            <w:pPr>
              <w:spacing w:after="0"/>
              <w:rPr>
                <w:sz w:val="18"/>
                <w:szCs w:val="18"/>
                <w:color w:val="auto"/>
              </w:rPr>
            </w:pP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Food and packaging costs - company owned and</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operated stores</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(71,596)</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(89,480)</w:t>
            </w:r>
          </w:p>
        </w:tc>
        <w:tc>
          <w:tcPr>
            <w:tcW w:w="2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(12,973)</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(207,948)</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(314,550)</w:t>
            </w:r>
          </w:p>
        </w:tc>
        <w:tc>
          <w:tcPr>
            <w:tcW w:w="2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(45,606)</w:t>
            </w: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Rental expenses - company owned and operated</w:t>
            </w: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(56,160)</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(75,939)</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(11,010)</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(148,152)</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(236,838)</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(34,338)</w:t>
            </w: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Payroll and employee benefits - company owned</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and operated stores</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(71,828)</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(66,699)</w:t>
            </w:r>
          </w:p>
        </w:tc>
        <w:tc>
          <w:tcPr>
            <w:tcW w:w="2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(9,670)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(199,330)</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(268,857)</w:t>
            </w:r>
          </w:p>
        </w:tc>
        <w:tc>
          <w:tcPr>
            <w:tcW w:w="2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(38,981)</w:t>
            </w: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Delivery costs - company owned and operated</w:t>
            </w: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(13,926)</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(21,917)</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(3,178)</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(38,604)</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(73,616)</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(10,673)</w:t>
            </w: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operating expenses - company owned and</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operated stores</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(27,962)</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(23,106)</w:t>
            </w:r>
          </w:p>
        </w:tc>
        <w:tc>
          <w:tcPr>
            <w:tcW w:w="2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(3,350)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(99,105)</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(107,770)</w:t>
            </w:r>
          </w:p>
        </w:tc>
        <w:tc>
          <w:tcPr>
            <w:tcW w:w="2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(15,625)</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depreciation and amortization</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(20,986)</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(33,544)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(4,863)</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(62,679)</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(118,659)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(17,204)</w:t>
            </w: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Franchise and royalty expenses - company owned</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and operated stores</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(3,866)</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(8,174)</w:t>
            </w: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(1,185)</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(14,894)</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(29,404)</w:t>
            </w:r>
          </w:p>
        </w:tc>
        <w:tc>
          <w:tcPr>
            <w:tcW w:w="2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(4,263)</w:t>
            </w:r>
          </w:p>
        </w:tc>
      </w:tr>
      <w:tr>
        <w:trPr>
          <w:trHeight w:val="178"/>
        </w:trPr>
        <w:tc>
          <w:tcPr>
            <w:tcW w:w="37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Fully-burdened gross loss - company owned and</w:t>
            </w: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operated stores</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(52,671)</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(46,350)</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(6,719)</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(153,486)</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(211,597)</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(30,679)</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Store depreciation and amortization</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20,986</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33,544</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4,863</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62,679</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118,659</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17,204</w:t>
            </w: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pre-opening expenses</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40,465</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25,602</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3,712</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110,583</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52,262</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7,577</w:t>
            </w: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Adjusted Store EBITDA</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2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12,796</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2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19,776</w:t>
            </w:r>
          </w:p>
        </w:tc>
        <w:tc>
          <w:tcPr>
            <w:tcW w:w="2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(40,676)</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6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Store EBITDA Margin</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3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5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Adjusted general and administrative expenses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14"/>
          </w:tcPr>
          <w:p>
            <w:pPr>
              <w:jc w:val="center"/>
              <w:ind w:right="200"/>
              <w:spacing w:after="0"/>
              <w:rPr>
                <w:sz w:val="20"/>
                <w:szCs w:val="20"/>
                <w:color w:val="auto"/>
              </w:rPr>
            </w:pPr>
            <w:r>
              <w:rPr>
                <w:rFonts w:ascii="Times New Roman" w:cs="Times New Roman" w:eastAsia="Times New Roman" w:hAnsi="Times New Roman"/>
                <w:sz w:val="18"/>
                <w:szCs w:val="18"/>
                <w:color w:val="auto"/>
              </w:rPr>
              <w:t>For the three months ended December 31,</w:t>
            </w:r>
          </w:p>
        </w:tc>
        <w:tc>
          <w:tcPr>
            <w:tcW w:w="3540" w:type="dxa"/>
            <w:vAlign w:val="bottom"/>
            <w:gridSpan w:val="12"/>
          </w:tcPr>
          <w:p>
            <w:pPr>
              <w:jc w:val="center"/>
              <w:ind w:right="100"/>
              <w:spacing w:after="0"/>
              <w:rPr>
                <w:sz w:val="20"/>
                <w:szCs w:val="20"/>
                <w:color w:val="auto"/>
              </w:rPr>
            </w:pPr>
            <w:r>
              <w:rPr>
                <w:rFonts w:ascii="Times New Roman" w:cs="Times New Roman" w:eastAsia="Times New Roman" w:hAnsi="Times New Roman"/>
                <w:sz w:val="18"/>
                <w:szCs w:val="18"/>
                <w:color w:val="auto"/>
              </w:rPr>
              <w:t>For the year ended December 31,</w:t>
            </w:r>
          </w:p>
        </w:tc>
      </w:tr>
      <w:tr>
        <w:trPr>
          <w:trHeight w:val="223"/>
        </w:trPr>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7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RMB</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9"/>
              </w:rPr>
              <w:t>RMB</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RMB</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9"/>
                <w:szCs w:val="19"/>
                <w:color w:val="auto"/>
              </w:rPr>
            </w:pPr>
          </w:p>
        </w:tc>
      </w:tr>
      <w:tr>
        <w:trPr>
          <w:trHeight w:val="209"/>
        </w:trPr>
        <w:tc>
          <w:tcPr>
            <w:tcW w:w="3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(58,558)</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(289,544)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1,616</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44,421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6,440</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 fee for Cantor shares</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21,521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3,120</w:t>
            </w:r>
          </w:p>
        </w:tc>
      </w:tr>
      <w:tr>
        <w:trPr>
          <w:trHeight w:val="198"/>
        </w:trPr>
        <w:tc>
          <w:tcPr>
            <w:tcW w:w="3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Option granted by controlling shareholder to CB</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1,778</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costs for ESA transactions</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4,622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r>
      <w:tr>
        <w:trPr>
          <w:trHeight w:val="209"/>
        </w:trPr>
        <w:tc>
          <w:tcPr>
            <w:tcW w:w="3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General and administrative expenses</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(58,558)</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(55,315)</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(217,202)</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(31,491)</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 Adjusted corporate EBITDA and adjusted corporate EBITDA margin</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14"/>
          </w:tcPr>
          <w:p>
            <w:pPr>
              <w:jc w:val="center"/>
              <w:ind w:right="620"/>
              <w:spacing w:after="0"/>
              <w:rPr>
                <w:sz w:val="20"/>
                <w:szCs w:val="20"/>
                <w:color w:val="auto"/>
              </w:rPr>
            </w:pPr>
            <w:r>
              <w:rPr>
                <w:rFonts w:ascii="Times New Roman" w:cs="Times New Roman" w:eastAsia="Times New Roman" w:hAnsi="Times New Roman"/>
                <w:sz w:val="18"/>
                <w:szCs w:val="18"/>
                <w:color w:val="auto"/>
                <w:w w:val="99"/>
              </w:rPr>
              <w:t>For the three months ended December 31,</w:t>
            </w:r>
          </w:p>
        </w:tc>
        <w:tc>
          <w:tcPr>
            <w:tcW w:w="3540" w:type="dxa"/>
            <w:vAlign w:val="bottom"/>
            <w:gridSpan w:val="1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 the year ended December 31,</w:t>
            </w:r>
          </w:p>
        </w:tc>
      </w:tr>
      <w:tr>
        <w:trPr>
          <w:trHeight w:val="223"/>
        </w:trPr>
        <w:tc>
          <w:tcPr>
            <w:tcW w:w="37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RMB</w:t>
            </w:r>
          </w:p>
        </w:tc>
        <w:tc>
          <w:tcPr>
            <w:tcW w:w="28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300" w:type="dxa"/>
            <w:vAlign w:val="bottom"/>
            <w:gridSpan w:val="5"/>
          </w:tcPr>
          <w:p>
            <w:pPr>
              <w:jc w:val="center"/>
              <w:ind w:right="820"/>
              <w:spacing w:after="0"/>
              <w:rPr>
                <w:sz w:val="20"/>
                <w:szCs w:val="20"/>
                <w:color w:val="auto"/>
              </w:rPr>
            </w:pPr>
            <w:r>
              <w:rPr>
                <w:rFonts w:ascii="Times New Roman" w:cs="Times New Roman" w:eastAsia="Times New Roman" w:hAnsi="Times New Roman"/>
                <w:sz w:val="18"/>
                <w:szCs w:val="18"/>
                <w:color w:val="auto"/>
                <w:w w:val="99"/>
              </w:rPr>
              <w:t>RMB</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RMB</w:t>
            </w:r>
          </w:p>
        </w:tc>
        <w:tc>
          <w:tcPr>
            <w:tcW w:w="2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9"/>
              </w:rPr>
              <w:t>RMB</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gridSpan w:val="2"/>
          </w:tcPr>
          <w:p>
            <w:pPr>
              <w:spacing w:after="0"/>
              <w:rPr>
                <w:sz w:val="19"/>
                <w:szCs w:val="19"/>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(129,346)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(131,361)</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(19,044)</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(374,464)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(581,183)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(84,263)</w:t>
            </w:r>
          </w:p>
        </w:tc>
        <w:tc>
          <w:tcPr>
            <w:tcW w:w="16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pre-opening expenses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40,465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25,602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110,583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52,262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7,577</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28,152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38,170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133,403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19,342</w:t>
            </w: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11,145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44,421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6,440</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 fee for Cantor shares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21,521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18"/>
                <w:szCs w:val="18"/>
                <w:color w:val="auto"/>
              </w:rPr>
            </w:pPr>
          </w:p>
        </w:tc>
      </w:tr>
      <w:tr>
        <w:trPr>
          <w:trHeight w:val="198"/>
        </w:trPr>
        <w:tc>
          <w:tcPr>
            <w:tcW w:w="3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Option granted by controlling shareholder to CB</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1,778</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20"/>
                <w:szCs w:val="20"/>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costs for ESA transactions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of long-lived assets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7,223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shd w:val="clear" w:color="auto" w:fill="CCEEFF"/>
          </w:tcPr>
          <w:p>
            <w:pPr>
              <w:spacing w:after="0"/>
              <w:rPr>
                <w:sz w:val="18"/>
                <w:szCs w:val="18"/>
                <w:color w:val="auto"/>
              </w:rPr>
            </w:pPr>
          </w:p>
        </w:tc>
      </w:tr>
      <w:tr>
        <w:trPr>
          <w:trHeight w:val="23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8,835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19"/>
                <w:szCs w:val="19"/>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Corporate EBITDA</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(59,313)</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(307,118)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(44,528)</w:t>
            </w:r>
          </w:p>
        </w:tc>
        <w:tc>
          <w:tcPr>
            <w:tcW w:w="160" w:type="dxa"/>
            <w:vAlign w:val="bottom"/>
            <w:tcBorders>
              <w:top w:val="single" w:sz="8" w:color="CCEEFF"/>
            </w:tcBorders>
            <w:gridSpan w:val="2"/>
            <w:shd w:val="clear" w:color="auto" w:fill="CCEEFF"/>
          </w:tcPr>
          <w:p>
            <w:pPr>
              <w:spacing w:after="0"/>
              <w:rPr>
                <w:sz w:val="18"/>
                <w:szCs w:val="18"/>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Corporate EBITDA Margin</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r>
      <w:tr>
        <w:trPr>
          <w:trHeight w:val="414"/>
        </w:trPr>
        <w:tc>
          <w:tcPr>
            <w:tcW w:w="3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54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 Adjusted net loss and adjusted net loss margin</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12"/>
          </w:tcPr>
          <w:p>
            <w:pPr>
              <w:jc w:val="center"/>
              <w:ind w:right="460"/>
              <w:spacing w:after="0"/>
              <w:rPr>
                <w:sz w:val="20"/>
                <w:szCs w:val="20"/>
                <w:color w:val="auto"/>
              </w:rPr>
            </w:pPr>
            <w:r>
              <w:rPr>
                <w:rFonts w:ascii="Times New Roman" w:cs="Times New Roman" w:eastAsia="Times New Roman" w:hAnsi="Times New Roman"/>
                <w:sz w:val="18"/>
                <w:szCs w:val="18"/>
                <w:color w:val="auto"/>
                <w:w w:val="99"/>
              </w:rPr>
              <w:t>For the three months ended December 31,</w:t>
            </w:r>
          </w:p>
        </w:tc>
        <w:tc>
          <w:tcPr>
            <w:tcW w:w="120" w:type="dxa"/>
            <w:vAlign w:val="bottom"/>
          </w:tcPr>
          <w:p>
            <w:pPr>
              <w:spacing w:after="0"/>
              <w:rPr>
                <w:sz w:val="24"/>
                <w:szCs w:val="24"/>
                <w:color w:val="auto"/>
              </w:rPr>
            </w:pPr>
          </w:p>
        </w:tc>
        <w:tc>
          <w:tcPr>
            <w:tcW w:w="3580" w:type="dxa"/>
            <w:vAlign w:val="bottom"/>
            <w:gridSpan w:val="12"/>
          </w:tcPr>
          <w:p>
            <w:pPr>
              <w:jc w:val="center"/>
              <w:ind w:right="280"/>
              <w:spacing w:after="0"/>
              <w:rPr>
                <w:sz w:val="20"/>
                <w:szCs w:val="20"/>
                <w:color w:val="auto"/>
              </w:rPr>
            </w:pPr>
            <w:r>
              <w:rPr>
                <w:rFonts w:ascii="Times New Roman" w:cs="Times New Roman" w:eastAsia="Times New Roman" w:hAnsi="Times New Roman"/>
                <w:sz w:val="18"/>
                <w:szCs w:val="18"/>
                <w:color w:val="auto"/>
                <w:w w:val="99"/>
              </w:rPr>
              <w:t>For the year ended December 31,</w:t>
            </w:r>
          </w:p>
        </w:tc>
      </w:tr>
      <w:tr>
        <w:trPr>
          <w:trHeight w:val="223"/>
        </w:trPr>
        <w:tc>
          <w:tcPr>
            <w:tcW w:w="376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RMB</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color w:val="auto"/>
                <w:w w:val="99"/>
              </w:rPr>
              <w:t>RMB</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RMB</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color w:val="auto"/>
                <w:w w:val="99"/>
              </w:rPr>
              <w:t>RMB</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(137,007)</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(222,879)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pre-opening expenses</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40,465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110,583</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52,262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7,577</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44,421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6,440</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fee for Cantor shares</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21,521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shd w:val="clear" w:color="auto" w:fill="CCEEFF"/>
          </w:tcPr>
          <w:p>
            <w:pPr>
              <w:spacing w:after="0"/>
              <w:rPr>
                <w:sz w:val="18"/>
                <w:szCs w:val="18"/>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Option granted by controlling shareholder to CB</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holder</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1,778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for ESA transactions</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 of long-lived assets</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7,223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convertible notes</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5,577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5,577</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4,494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(35,954)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(45,903)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(6,655)</w:t>
            </w: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ESA derivative liabilities</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116,666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16,915</w:t>
            </w:r>
          </w:p>
        </w:tc>
        <w:tc>
          <w:tcPr>
            <w:tcW w:w="1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186,598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27,054</w:t>
            </w:r>
          </w:p>
        </w:tc>
        <w:tc>
          <w:tcPr>
            <w:tcW w:w="100" w:type="dxa"/>
            <w:vAlign w:val="bottom"/>
          </w:tcPr>
          <w:p>
            <w:pPr>
              <w:spacing w:after="0"/>
              <w:rPr>
                <w:sz w:val="19"/>
                <w:szCs w:val="19"/>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(89,549)</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(100,803)</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(458,897)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loss Margin</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0"/>
                <w:szCs w:val="20"/>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-45.4%</w:t>
            </w:r>
          </w:p>
        </w:tc>
      </w:tr>
      <w:tr>
        <w:trPr>
          <w:trHeight w:val="414"/>
        </w:trPr>
        <w:tc>
          <w:tcPr>
            <w:tcW w:w="5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 Adjusted basic and diluted net loss per Ordinary Share</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1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 the three months ended December 31,</w:t>
            </w:r>
          </w:p>
        </w:tc>
        <w:tc>
          <w:tcPr>
            <w:tcW w:w="120" w:type="dxa"/>
            <w:vAlign w:val="bottom"/>
          </w:tcPr>
          <w:p>
            <w:pPr>
              <w:spacing w:after="0"/>
              <w:rPr>
                <w:sz w:val="24"/>
                <w:szCs w:val="24"/>
                <w:color w:val="auto"/>
              </w:rPr>
            </w:pPr>
          </w:p>
        </w:tc>
        <w:tc>
          <w:tcPr>
            <w:tcW w:w="3580" w:type="dxa"/>
            <w:vAlign w:val="bottom"/>
            <w:gridSpan w:val="12"/>
          </w:tcPr>
          <w:p>
            <w:pPr>
              <w:jc w:val="center"/>
              <w:ind w:right="100"/>
              <w:spacing w:after="0"/>
              <w:rPr>
                <w:sz w:val="20"/>
                <w:szCs w:val="20"/>
                <w:color w:val="auto"/>
              </w:rPr>
            </w:pPr>
            <w:r>
              <w:rPr>
                <w:rFonts w:ascii="Times New Roman" w:cs="Times New Roman" w:eastAsia="Times New Roman" w:hAnsi="Times New Roman"/>
                <w:sz w:val="18"/>
                <w:szCs w:val="18"/>
                <w:color w:val="auto"/>
              </w:rPr>
              <w:t>For the year ended December 31,</w:t>
            </w:r>
          </w:p>
        </w:tc>
      </w:tr>
      <w:tr>
        <w:trPr>
          <w:trHeight w:val="223"/>
        </w:trPr>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7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RMB</w:t>
            </w:r>
          </w:p>
        </w:tc>
        <w:tc>
          <w:tcPr>
            <w:tcW w:w="220" w:type="dxa"/>
            <w:vAlign w:val="bottom"/>
            <w:gridSpan w:val="2"/>
          </w:tcPr>
          <w:p>
            <w:pPr>
              <w:spacing w:after="0"/>
              <w:rPr>
                <w:sz w:val="19"/>
                <w:szCs w:val="19"/>
                <w:color w:val="auto"/>
              </w:rPr>
            </w:pPr>
          </w:p>
        </w:tc>
        <w:tc>
          <w:tcPr>
            <w:tcW w:w="1320" w:type="dxa"/>
            <w:vAlign w:val="bottom"/>
            <w:tcBorders>
              <w:top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RMB</w:t>
            </w:r>
          </w:p>
        </w:tc>
        <w:tc>
          <w:tcPr>
            <w:tcW w:w="92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RMB</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RMB</w:t>
            </w:r>
          </w:p>
        </w:tc>
        <w:tc>
          <w:tcPr>
            <w:tcW w:w="9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9"/>
                <w:szCs w:val="19"/>
                <w:color w:val="auto"/>
              </w:rPr>
            </w:pPr>
          </w:p>
        </w:tc>
      </w:tr>
      <w:tr>
        <w:trPr>
          <w:trHeight w:val="178"/>
        </w:trPr>
        <w:tc>
          <w:tcPr>
            <w:tcW w:w="37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Loss attributable to shareholders of the</w:t>
            </w:r>
          </w:p>
        </w:tc>
        <w:tc>
          <w:tcPr>
            <w:tcW w:w="1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14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(138,331)</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(223,867)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(32,457)</w:t>
            </w:r>
          </w:p>
        </w:tc>
        <w:tc>
          <w:tcPr>
            <w:tcW w:w="1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(381,721)</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(742,645)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(107,673)</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pre-opening expenses</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40,465</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3,712</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110,583</w:t>
            </w:r>
          </w:p>
        </w:tc>
        <w:tc>
          <w:tcPr>
            <w:tcW w:w="12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52,262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7,577</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11,145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1,616</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44,421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6,440</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fee for Cantor shares</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3,120</w:t>
            </w: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Option granted by controlling shareholder to CB</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holder</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1,778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for ESA transactions</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 of long-lived assets</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1,002</w:t>
            </w:r>
          </w:p>
        </w:tc>
        <w:tc>
          <w:tcPr>
            <w:tcW w:w="1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1,002</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7,223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1,047</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1,546</w:t>
            </w:r>
          </w:p>
        </w:tc>
        <w:tc>
          <w:tcPr>
            <w:tcW w:w="12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convertible notes</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5,577</w:t>
            </w:r>
          </w:p>
        </w:tc>
        <w:tc>
          <w:tcPr>
            <w:tcW w:w="1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5,577</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4,494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652</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(5,213)</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(6,655)</w:t>
            </w: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ESA derivative liabilities</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116,666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16,915</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186,598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27,054</w:t>
            </w:r>
          </w:p>
        </w:tc>
      </w:tr>
      <w:tr>
        <w:trPr>
          <w:trHeight w:val="178"/>
        </w:trPr>
        <w:tc>
          <w:tcPr>
            <w:tcW w:w="37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w w:val="99"/>
              </w:rPr>
              <w:t>Adjusted Net loss attributable to shareholders of the</w:t>
            </w:r>
          </w:p>
        </w:tc>
        <w:tc>
          <w:tcPr>
            <w:tcW w:w="1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14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(90,873)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(14,757)</w:t>
            </w:r>
          </w:p>
        </w:tc>
        <w:tc>
          <w:tcPr>
            <w:tcW w:w="1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(263,013)</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(456,794)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(66,229)</w:t>
            </w: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used in</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calculating basic and diluted loss per share</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124,193,929</w:t>
            </w:r>
          </w:p>
        </w:tc>
        <w:tc>
          <w:tcPr>
            <w:tcW w:w="18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139,179,231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139,179,231</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121,582,945</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128,096,505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128,096,505</w:t>
            </w:r>
          </w:p>
        </w:tc>
      </w:tr>
      <w:tr>
        <w:trPr>
          <w:trHeight w:val="198"/>
        </w:trPr>
        <w:tc>
          <w:tcPr>
            <w:tcW w:w="3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basic and diluted net loss per Ordinary</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1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(0.52)</w:t>
            </w:r>
          </w:p>
        </w:tc>
      </w:tr>
      <w:tr>
        <w:trPr>
          <w:trHeight w:val="432"/>
        </w:trPr>
        <w:tc>
          <w:tcPr>
            <w:tcW w:w="3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2023-04-06T07:53:00Z</dcterms:created>
  <dcterms:modified xsi:type="dcterms:W3CDTF">2023-04-06T07:53:00Z</dcterms:modified>
</cp:coreProperties>
</file>