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15250d1_6k.htm"/>
      <w:bookmarkStart w:id="1" w:name="kstm2315250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 001-41516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TH International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2501 Central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 Huangpi North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People’s Republic of China, 200003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+86-021-6136-6616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Form 20-F  ☒    Form 40-F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INDEX TO EXHIBITS </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28" w:type="dxa"/>
          <w:right w:w="0" w:type="dxa"/>
        </w:tblCellMar>
      </w:tblPr>
      <w:tblGrid>
        <w:gridCol w:w="725"/>
        <w:gridCol w:w="60"/>
        <w:gridCol w:w="1160"/>
      </w:tblGrid>
      <w:tr>
        <w:trPr/>
        <w:tc>
          <w:tcPr>
            <w:tcW w:w="725" w:type="dxa"/>
            <w:tcBorders>
              <w:bottom w:val="single" w:sz="8" w:space="0" w:color="000000"/>
            </w:tcBorders>
            <w:vAlign w:val="center"/>
          </w:tcPr>
          <w:p>
            <w:pPr>
              <w:pStyle w:val="TableContents"/>
              <w:bidi w:val="0"/>
              <w:spacing w:before="0" w:after="283"/>
              <w:jc w:val="left"/>
              <w:rPr>
                <w:b/>
                <w:sz w:val="20"/>
              </w:rPr>
            </w:pPr>
            <w:r>
              <w:rPr>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1160" w:type="dxa"/>
            <w:tcBorders>
              <w:bottom w:val="single" w:sz="8" w:space="0" w:color="000000"/>
            </w:tcBorders>
            <w:vAlign w:val="center"/>
          </w:tcPr>
          <w:p>
            <w:pPr>
              <w:pStyle w:val="TableContents"/>
              <w:bidi w:val="0"/>
              <w:spacing w:before="0" w:after="283"/>
              <w:jc w:val="left"/>
              <w:rPr>
                <w:b/>
                <w:sz w:val="20"/>
              </w:rPr>
            </w:pPr>
            <w:r>
              <w:rPr>
                <w:b/>
                <w:sz w:val="20"/>
              </w:rPr>
              <w:t>Exhibit Title</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315250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hyperlink w:anchor="tm2315250d1_ex99-1.htm">
              <w:r>
                <w:rPr>
                  <w:rStyle w:val="InternetLink"/>
                  <w:sz w:val="20"/>
                </w:rPr>
                <w:t>Press Release.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55"/>
        <w:gridCol w:w="60"/>
        <w:gridCol w:w="2210"/>
      </w:tblGrid>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b/>
                <w:sz w:val="20"/>
              </w:rPr>
            </w:pPr>
            <w:r>
              <w:rPr>
                <w:b/>
                <w:sz w:val="20"/>
              </w:rPr>
              <w:t>TH International Limited</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Date: May 11, 2023</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Yongchen Lu</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sz w:val="20"/>
              </w:rPr>
            </w:pPr>
            <w:r>
              <w:rPr>
                <w:sz w:val="20"/>
              </w:rPr>
              <w:t>Yongchen Lu</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315250d1_ex99-1.htm"/>
      <w:bookmarkStart w:id="3" w:name="kstm2315250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923925"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3925" cy="942975"/>
                    </a:xfrm>
                    <a:prstGeom prst="rect">
                      <a:avLst/>
                    </a:prstGeom>
                  </pic:spPr>
                </pic:pic>
              </a:graphicData>
            </a:graphic>
          </wp:inline>
        </w:drawing>
      </w:r>
      <w:r>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Tims China Reports Same-Store Sales Growth in April 2023 of 16.3% and Announces Participation in Spring Investor Conferences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and NEW YORK, May 10, 2023 (GLOBE NEWSWIRE) -- TH International Limited (“Tims China” (Nasdaq: THCH)), the exclusive operator of Tim Hortons coffee shops and Popeyes restaurants in China, today announced that April 2023 same-store sales for company-owned and -operated stores grew by 16.3% compared to April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Tims China announced its participation in the following investor conferences.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Symbol" w:hAnsi="Symbol"/>
              </w:rPr>
            </w:pPr>
            <w:r>
              <w:rPr>
                <w:rFonts w:ascii="Symbol" w:hAnsi="Symbol"/>
              </w:rPr>
              <w:t>·</w:t>
            </w:r>
          </w:p>
        </w:tc>
        <w:tc>
          <w:tcPr>
            <w:tcW w:w="100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May 9</w:t>
            </w:r>
            <w:r>
              <w:rPr>
                <w:rFonts w:ascii="Times New Roman;Times;Serif" w:hAnsi="Times New Roman;Times;Serif"/>
                <w:position w:val="8"/>
                <w:sz w:val="19"/>
              </w:rPr>
              <w:t>th</w:t>
            </w:r>
            <w:r>
              <w:rPr>
                <w:rFonts w:ascii="Times New Roman;Times;Serif" w:hAnsi="Times New Roman;Times;Serif"/>
              </w:rPr>
              <w:t xml:space="preserve"> to 10</w:t>
            </w:r>
            <w:r>
              <w:rPr>
                <w:rFonts w:ascii="Times New Roman;Times;Serif" w:hAnsi="Times New Roman;Times;Serif"/>
                <w:position w:val="8"/>
                <w:sz w:val="19"/>
              </w:rPr>
              <w:t>th</w:t>
            </w:r>
            <w:r>
              <w:rPr>
                <w:rFonts w:ascii="Times New Roman;Times;Serif" w:hAnsi="Times New Roman;Times;Serif"/>
              </w:rPr>
              <w:t xml:space="preserve"> the Macquarie DELTAH China Conference 2023 in Hong Kong;  </w:t>
            </w:r>
          </w:p>
        </w:tc>
      </w:tr>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Symbol" w:hAnsi="Symbol"/>
              </w:rPr>
            </w:pPr>
            <w:r>
              <w:rPr>
                <w:rFonts w:ascii="Symbol" w:hAnsi="Symbol"/>
              </w:rPr>
              <w:t>·</w:t>
            </w:r>
          </w:p>
        </w:tc>
        <w:tc>
          <w:tcPr>
            <w:tcW w:w="100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May 17</w:t>
            </w:r>
            <w:r>
              <w:rPr>
                <w:rFonts w:ascii="Times New Roman;Times;Serif" w:hAnsi="Times New Roman;Times;Serif"/>
                <w:position w:val="8"/>
                <w:sz w:val="19"/>
              </w:rPr>
              <w:t>th</w:t>
            </w:r>
            <w:r>
              <w:rPr>
                <w:rFonts w:ascii="Times New Roman;Times;Serif" w:hAnsi="Times New Roman;Times;Serif"/>
              </w:rPr>
              <w:t xml:space="preserve"> to 19</w:t>
            </w:r>
            <w:r>
              <w:rPr>
                <w:rFonts w:ascii="Times New Roman;Times;Serif" w:hAnsi="Times New Roman;Times;Serif"/>
                <w:position w:val="8"/>
                <w:sz w:val="19"/>
              </w:rPr>
              <w:t>th</w:t>
            </w:r>
            <w:r>
              <w:rPr>
                <w:rFonts w:ascii="Times New Roman;Times;Serif" w:hAnsi="Times New Roman;Times;Serif"/>
              </w:rPr>
              <w:t xml:space="preserve"> the Daiwa Securities China Consumer Tour in Shanghai;</w:t>
            </w:r>
          </w:p>
        </w:tc>
      </w:tr>
    </w:tbl>
    <w:tbl>
      <w:tblPr>
        <w:tblW w:w="5000" w:type="pct"/>
        <w:jc w:val="left"/>
        <w:tblInd w:w="0" w:type="dxa"/>
        <w:tblLayout w:type="fixed"/>
        <w:tblCellMar>
          <w:top w:w="0" w:type="dxa"/>
          <w:left w:w="0" w:type="dxa"/>
          <w:bottom w:w="0" w:type="dxa"/>
          <w:right w:w="0" w:type="dxa"/>
        </w:tblCellMar>
      </w:tblPr>
      <w:tblGrid>
        <w:gridCol w:w="52"/>
        <w:gridCol w:w="172"/>
        <w:gridCol w:w="9981"/>
      </w:tblGrid>
      <w:tr>
        <w:trPr/>
        <w:tc>
          <w:tcPr>
            <w:tcW w:w="5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Symbol" w:hAnsi="Symbol"/>
              </w:rPr>
            </w:pPr>
            <w:r>
              <w:rPr>
                <w:rFonts w:ascii="Symbol" w:hAnsi="Symbol"/>
              </w:rPr>
              <w:t>·</w:t>
            </w:r>
          </w:p>
        </w:tc>
        <w:tc>
          <w:tcPr>
            <w:tcW w:w="99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May 17</w:t>
            </w:r>
            <w:r>
              <w:rPr>
                <w:rFonts w:ascii="Times New Roman;Times;Serif" w:hAnsi="Times New Roman;Times;Serif"/>
                <w:position w:val="8"/>
                <w:sz w:val="19"/>
              </w:rPr>
              <w:t>th</w:t>
            </w:r>
            <w:r>
              <w:rPr>
                <w:rFonts w:ascii="Times New Roman;Times;Serif" w:hAnsi="Times New Roman;Times;Serif"/>
              </w:rPr>
              <w:t xml:space="preserve"> the BMO Global Farm to Market Conference in New York City;  </w:t>
            </w:r>
          </w:p>
        </w:tc>
      </w:tr>
    </w:tbl>
    <w:tbl>
      <w:tblPr>
        <w:tblW w:w="5000" w:type="pct"/>
        <w:jc w:val="left"/>
        <w:tblInd w:w="0" w:type="dxa"/>
        <w:tblLayout w:type="fixed"/>
        <w:tblCellMar>
          <w:top w:w="0" w:type="dxa"/>
          <w:left w:w="0" w:type="dxa"/>
          <w:bottom w:w="0" w:type="dxa"/>
          <w:right w:w="0" w:type="dxa"/>
        </w:tblCellMar>
      </w:tblPr>
      <w:tblGrid>
        <w:gridCol w:w="51"/>
        <w:gridCol w:w="169"/>
        <w:gridCol w:w="9985"/>
      </w:tblGrid>
      <w:tr>
        <w:trPr/>
        <w:tc>
          <w:tcPr>
            <w:tcW w:w="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Symbol" w:hAnsi="Symbol"/>
              </w:rPr>
            </w:pPr>
            <w:r>
              <w:rPr>
                <w:rFonts w:ascii="Symbol" w:hAnsi="Symbol"/>
              </w:rPr>
              <w:t>·</w:t>
            </w:r>
          </w:p>
        </w:tc>
        <w:tc>
          <w:tcPr>
            <w:tcW w:w="99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May 30</w:t>
            </w:r>
            <w:r>
              <w:rPr>
                <w:rFonts w:ascii="Times New Roman;Times;Serif" w:hAnsi="Times New Roman;Times;Serif"/>
                <w:position w:val="8"/>
                <w:sz w:val="19"/>
              </w:rPr>
              <w:t>th</w:t>
            </w:r>
            <w:r>
              <w:rPr>
                <w:rFonts w:ascii="Times New Roman;Times;Serif" w:hAnsi="Times New Roman;Times;Serif"/>
              </w:rPr>
              <w:t xml:space="preserve"> to June 1</w:t>
            </w:r>
            <w:r>
              <w:rPr>
                <w:rFonts w:ascii="Times New Roman;Times;Serif" w:hAnsi="Times New Roman;Times;Serif"/>
                <w:position w:val="8"/>
                <w:sz w:val="19"/>
              </w:rPr>
              <w:t>st</w:t>
            </w:r>
            <w:r>
              <w:rPr>
                <w:rFonts w:ascii="Times New Roman;Times;Serif" w:hAnsi="Times New Roman;Times;Serif"/>
              </w:rPr>
              <w:t xml:space="preserve"> the Morgan Stanley China Summit 2023 in Hong Kong;</w:t>
            </w:r>
          </w:p>
        </w:tc>
      </w:tr>
    </w:tbl>
    <w:tbl>
      <w:tblPr>
        <w:tblW w:w="5000" w:type="pct"/>
        <w:jc w:val="left"/>
        <w:tblInd w:w="0" w:type="dxa"/>
        <w:tblLayout w:type="fixed"/>
        <w:tblCellMar>
          <w:top w:w="0" w:type="dxa"/>
          <w:left w:w="0" w:type="dxa"/>
          <w:bottom w:w="0" w:type="dxa"/>
          <w:right w:w="0" w:type="dxa"/>
        </w:tblCellMar>
      </w:tblPr>
      <w:tblGrid>
        <w:gridCol w:w="68"/>
        <w:gridCol w:w="227"/>
        <w:gridCol w:w="9910"/>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Symbol" w:hAnsi="Symbol"/>
              </w:rPr>
            </w:pPr>
            <w:r>
              <w:rPr>
                <w:rFonts w:ascii="Symbol" w:hAnsi="Symbol"/>
              </w:rPr>
              <w:t>·</w:t>
            </w:r>
          </w:p>
        </w:tc>
        <w:tc>
          <w:tcPr>
            <w:tcW w:w="99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June 8</w:t>
            </w:r>
            <w:r>
              <w:rPr>
                <w:rFonts w:ascii="Times New Roman;Times;Serif" w:hAnsi="Times New Roman;Times;Serif"/>
                <w:position w:val="8"/>
                <w:sz w:val="19"/>
              </w:rPr>
              <w:t>th</w:t>
            </w:r>
            <w:r>
              <w:rPr>
                <w:rFonts w:ascii="Times New Roman;Times;Serif" w:hAnsi="Times New Roman;Times;Serif"/>
              </w:rPr>
              <w:t xml:space="preserve"> the RBC Consumer Day in New York City; and</w:t>
            </w:r>
          </w:p>
        </w:tc>
      </w:tr>
    </w:tbl>
    <w:tbl>
      <w:tblPr>
        <w:tblW w:w="5000" w:type="pct"/>
        <w:jc w:val="left"/>
        <w:tblInd w:w="0" w:type="dxa"/>
        <w:tblLayout w:type="fixed"/>
        <w:tblCellMar>
          <w:top w:w="0" w:type="dxa"/>
          <w:left w:w="0" w:type="dxa"/>
          <w:bottom w:w="0" w:type="dxa"/>
          <w:right w:w="0" w:type="dxa"/>
        </w:tblCellMar>
      </w:tblPr>
      <w:tblGrid>
        <w:gridCol w:w="40"/>
        <w:gridCol w:w="134"/>
        <w:gridCol w:w="10031"/>
      </w:tblGrid>
      <w:tr>
        <w:trPr/>
        <w:tc>
          <w:tcPr>
            <w:tcW w:w="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Symbol" w:hAnsi="Symbol"/>
              </w:rPr>
            </w:pPr>
            <w:r>
              <w:rPr>
                <w:rFonts w:ascii="Symbol" w:hAnsi="Symbol"/>
              </w:rPr>
              <w:t>·</w:t>
            </w:r>
          </w:p>
        </w:tc>
        <w:tc>
          <w:tcPr>
            <w:tcW w:w="100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June 13</w:t>
            </w:r>
            <w:r>
              <w:rPr>
                <w:rFonts w:ascii="Times New Roman;Times;Serif" w:hAnsi="Times New Roman;Times;Serif"/>
                <w:position w:val="8"/>
                <w:sz w:val="19"/>
              </w:rPr>
              <w:t>th</w:t>
            </w:r>
            <w:r>
              <w:rPr>
                <w:rFonts w:ascii="Times New Roman;Times;Serif" w:hAnsi="Times New Roman;Times;Serif"/>
              </w:rPr>
              <w:t xml:space="preserve"> to 14</w:t>
            </w:r>
            <w:r>
              <w:rPr>
                <w:rFonts w:ascii="Times New Roman;Times;Serif" w:hAnsi="Times New Roman;Times;Serif"/>
                <w:position w:val="8"/>
                <w:sz w:val="19"/>
              </w:rPr>
              <w:t>th</w:t>
            </w:r>
            <w:r>
              <w:rPr>
                <w:rFonts w:ascii="Times New Roman;Times;Serif" w:hAnsi="Times New Roman;Times;Serif"/>
              </w:rPr>
              <w:t xml:space="preserve"> the Oppenheimer 23rd Annual Consumer Growth and E-Commerce Conference.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These forward-looking statements generally are identified by the words “believe,” “project,” “expect,” “anticipate,” “estimate,” “intend,” “strategy,” “future,” “opportunity,” “plan,” “may,” “should,” “will,” “would,” “will be,” “will continue,” “will likely result,” and similar expressions. Without limiting the generality of the foregoing, the forward-looking statements in this press release include THIL’s participation in the upcoming events.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such as the Company’s inability to implement its business plans, identify and realize additional opportunities, or meet or exceed its financial projections and changes in the regulatory or competitive environment in which the Company operates. You should carefully consider the foregoing factors and the other risks and uncertainties described in the Company’s Annual Report on Form 20-F and other documents filed or to be filed by the Company with the SEC from time to time, which could cause actual events and results to differ materially from those contained in the forward-looking statements. Forward-looking statements speak only as of the date they are made. Readers are cautioned not to put undue reliance on forward-looking statements. The Company cannot assure you that these forward-looking statements will prove to be accurate and assumes no obligation and does not intend to update or revise these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923925" cy="942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23925" cy="9429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 INTERNATIONAL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 International Limited (Nasdaq: THCH) (“Tims China”) is the parent company of the exclusive master franchisees of Tim Hortons coffee shops in mainland China, Hong Kong, and Macau and Popeyes restaurants in mainland China and Macau. Tims China was founded by Cartesian Capital Group and Tim Hortons Restaurants International, a subsidiary of Restaurant Brands International (TSX: QSR) (NYSE: QSR).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philosophy is rooted in world-class execution and data-driven decision making and centered on true local relevance, continuous innovation, genuine community, and absolute convenience. For more information, please visit </w:t>
      </w:r>
      <w:r>
        <w:rPr>
          <w:rFonts w:ascii="Times New Roman;Times;Serif" w:hAnsi="Times New Roman;Times;Serif"/>
          <w:b w:val="false"/>
          <w:i w:val="false"/>
          <w:caps w:val="false"/>
          <w:smallCaps w:val="false"/>
          <w:sz w:val="20"/>
          <w:u w:val="single"/>
        </w:rPr>
        <w:t>ir.timschina.com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AND MEDIA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Tims China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IR@timschina.com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LLC</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TimsChinaIR@icrinc.com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LLC</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TimsChinaPR@icrinc.com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753</Words>
  <Characters>4287</Characters>
  <CharactersWithSpaces>5077</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