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760" w:hanging="337"/>
        <w:spacing w:after="0" w:line="266" w:lineRule="auto"/>
        <w:tabs>
          <w:tab w:leader="none" w:pos="676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by Silver Crest Acquisition Corp pursuant to Rule 425 under the Securities Act of 1933</w:t>
      </w:r>
    </w:p>
    <w:p>
      <w:pPr>
        <w:ind w:left="6760" w:hanging="337"/>
        <w:spacing w:after="0" w:line="213" w:lineRule="auto"/>
        <w:tabs>
          <w:tab w:leader="none" w:pos="676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Subject Company: TH International Ltd</w:t>
      </w:r>
    </w:p>
    <w:p>
      <w:pPr>
        <w:spacing w:after="0" w:line="25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6760" w:hanging="337"/>
        <w:spacing w:after="0" w:line="210" w:lineRule="auto"/>
        <w:tabs>
          <w:tab w:leader="none" w:pos="676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Commission File No. 333-259743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-663575</wp:posOffset>
            </wp:positionH>
            <wp:positionV relativeFrom="paragraph">
              <wp:posOffset>139065</wp:posOffset>
            </wp:positionV>
            <wp:extent cx="6917690" cy="41763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40"/>
          </w:cols>
          <w:pgMar w:left="1440" w:top="216" w:right="9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381635</wp:posOffset>
            </wp:positionH>
            <wp:positionV relativeFrom="page">
              <wp:posOffset>5977890</wp:posOffset>
            </wp:positionV>
            <wp:extent cx="6786245" cy="20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245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03720" cy="38798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720" cy="387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381635</wp:posOffset>
            </wp:positionH>
            <wp:positionV relativeFrom="page">
              <wp:posOffset>4244975</wp:posOffset>
            </wp:positionV>
            <wp:extent cx="6786245" cy="2095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245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88900</wp:posOffset>
            </wp:positionV>
            <wp:extent cx="6917690" cy="417639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69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▪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2021-10-12T05:20:22Z</dcterms:created>
  <dcterms:modified xsi:type="dcterms:W3CDTF">2021-10-12T05:20:22Z</dcterms:modified>
</cp:coreProperties>
</file>