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001-41516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TH International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2501 Central Plaza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227 Huangpi North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 200003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+86-021-6136-6616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tcPr>
          <w:p>
            <w:pPr>
              <w:spacing w:after="0"/>
              <w:rPr>
                <w:sz w:val="18"/>
                <w:szCs w:val="18"/>
                <w:color w:val="auto"/>
              </w:rPr>
            </w:pPr>
          </w:p>
        </w:tc>
        <w:tc>
          <w:tcPr>
            <w:tcW w:w="886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Earnings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8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TH International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Yongchen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Yongchen Lu</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00075"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Tims China Announces Fourth Quarter and Full Year 2025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System Sales Increased 4.0% Year-over-Year to RMB359.4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17 Net New Store Openings During the Fourth Quarter,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1,047 System-Wide Stores at Year-End 2025</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31.0 Million Registered Loyalty Club Members at Year-End,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Representing 29.0% Year-over-Year Growth</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and NEW YORK, April 14, 2026 (GLOBE NEWSWIRE) -- TH International Limited (Nasdaq: THCH), the exclusive operator of Tim Hortons coffee shops in China (“Tims China” or the “Company”) today announced its unaudited financial results for the fourth quarter and full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HIGHLIGHTS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of RMB308.5 million (USD44.1 million), representing a 7.3% decrease from the same quarter of 2024.</w:t>
      </w:r>
    </w:p>
    <w:p>
      <w:pPr>
        <w:spacing w:after="0" w:line="2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System sales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RMB359.4 million (USD51.4 million), representing a 4.0% increase from the same quarter of 2024.</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7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totaled 17 (a net openings of 40 made-to-order (“MTO”) stores and a net closure of 23 non-MTO stores, of which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Tims Express stores).</w:t>
      </w:r>
    </w:p>
    <w:p>
      <w:pPr>
        <w:spacing w:after="0" w:line="164" w:lineRule="exact"/>
        <w:rPr>
          <w:rFonts w:ascii="Times New Roman" w:cs="Times New Roman" w:eastAsia="Times New Roman" w:hAnsi="Times New Roman"/>
          <w:sz w:val="18"/>
          <w:szCs w:val="18"/>
          <w:color w:val="auto"/>
        </w:rPr>
      </w:pPr>
    </w:p>
    <w:p>
      <w:pPr>
        <w:ind w:left="66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Company owned and operated store contribution</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color w:val="auto"/>
        </w:rPr>
        <w:t>, previously reported as adjusted store EBITDA, was RMB9.2 million (USD1.3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RMB13.0 million in the same quarter of 2024.</w:t>
      </w:r>
    </w:p>
    <w:p>
      <w:pPr>
        <w:spacing w:after="0" w:line="199" w:lineRule="exact"/>
        <w:rPr>
          <w:rFonts w:ascii="Times New Roman" w:cs="Times New Roman" w:eastAsia="Times New Roman" w:hAnsi="Times New Roman"/>
          <w:sz w:val="36"/>
          <w:szCs w:val="36"/>
          <w:color w:val="auto"/>
          <w:vertAlign w:val="superscript"/>
        </w:rPr>
      </w:pPr>
    </w:p>
    <w:p>
      <w:pPr>
        <w:ind w:left="660" w:hanging="328"/>
        <w:spacing w:after="0" w:line="18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Company owned and operated store contribution margin</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color w:val="auto"/>
        </w:rPr>
        <w:t>, previously reported as adjusted store EBITDA margin, was 3.7%,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 in the same quarter of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HIGHLIGHTS</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RMB1,316.2 million (USD188.2 million), representing a 5.4% decrease from 2024.</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new store openings </w:t>
      </w:r>
      <w:r>
        <w:rPr>
          <w:rFonts w:ascii="Times New Roman" w:cs="Times New Roman" w:eastAsia="Times New Roman" w:hAnsi="Times New Roman"/>
          <w:sz w:val="18"/>
          <w:szCs w:val="18"/>
          <w:color w:val="auto"/>
        </w:rPr>
        <w:t>totaled 25 (a net openings of 138 made-to-order (“MTO”) stores and a net closure of 113 non-MTO stores, of which 64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Tims Express stores).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Registered loyalty club members </w:t>
      </w:r>
      <w:r>
        <w:rPr>
          <w:rFonts w:ascii="Times New Roman" w:cs="Times New Roman" w:eastAsia="Times New Roman" w:hAnsi="Times New Roman"/>
          <w:sz w:val="18"/>
          <w:szCs w:val="18"/>
          <w:color w:val="auto"/>
        </w:rPr>
        <w:t>totaled 31.0 million members as of December 31, 2025, representing a 29.0% growth from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System sales is calculated as the gross merchandise value of sales generated from both company owned and operated stores and franchised stores.</w:t>
      </w:r>
    </w:p>
    <w:p>
      <w:pPr>
        <w:spacing w:after="0" w:line="1" w:lineRule="exact"/>
        <w:rPr>
          <w:sz w:val="20"/>
          <w:szCs w:val="20"/>
          <w:color w:val="auto"/>
        </w:rPr>
      </w:pPr>
    </w:p>
    <w:p>
      <w:pPr>
        <w:ind w:left="340" w:hanging="332"/>
        <w:spacing w:after="0" w:line="204"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Company owned and operated store contribution, is calculated as fully burdened gross profit</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of company owned and operated stores excluding depreciation &amp; amortization.</w:t>
      </w:r>
    </w:p>
    <w:p>
      <w:pPr>
        <w:ind w:left="340" w:hanging="332"/>
        <w:spacing w:after="0" w:line="181"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Company owned and operated store contribution margin, is calculated as company owned and operated store contribution as a percentage of revenues</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company owned and operated stores.</w:t>
      </w:r>
    </w:p>
    <w:p>
      <w:pPr>
        <w:spacing w:after="0" w:line="7" w:lineRule="exact"/>
        <w:rPr>
          <w:sz w:val="20"/>
          <w:szCs w:val="20"/>
          <w:color w:val="auto"/>
        </w:rPr>
      </w:pPr>
    </w:p>
    <w:p>
      <w:pPr>
        <w:jc w:val="both"/>
        <w:ind w:left="340" w:hanging="332"/>
        <w:spacing w:after="0" w:line="204"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Fully burdened gross profit of company owned and operated stores, the most directly comparable GAAP measure to company owned and operated store contribution, was a loss of RMB17.0 million (USD2.4 million) for the three months ended December 31, 2025, compared to a loss of RMB23.1 million in the same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COMPANY MANAGEMENT STATEMENT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Yongchen Lu, CEO &amp; Director of Tims China, stated, “In the fourth quarter, we achieved positive net new store openings and continued our strong momentum in system sales, achieving a 4.0% year-over-year growth. 2025 marked a critical transition year for the Company. We further solidified our differentiated strategic positioning in ’Coffee + Freshly Prepared Food,’ completed made-to-order renovations at almost all system-wide stores, surpassed 31 million registered loyalty club members, and received over 10,000 individual sub-franchisee applications by year-end. In the meantime, our sub-franchise businesses maintained steady contribution to cash flows and profitability. Profits from other revenues achieved a year-over-year growth of 55.7% in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Dong (Albert) Li, CFO of Tims China, commented, “Amidst macroeconomic volatility and intensive market competition, our team demonstrated strong resilience and achieved profitability improvements through enhanced operational efficiencies, supply chain optimizations, and rigorous cost controls. In 2025, our full-year adjusted corporate EBITDA margin improved by 1.0 percentage point year-over-year. Specifically, for the full year of 2025, food and packaging costs, labor costs, other store operating expenses (each as a percentage of revenues from company owned and operated stores), and adjusted general and administrative expenses as a percentage of total revenues decreased by 1.4 percentage points, 0.8 percentage points, 0.1 percentage points, and 0.7 percentage points,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RMB308.5 million (USD44.1 million) for the three months ended December 31, 2025, representing a decrease of 7.3% from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RMB332.6 million in the same quarter of 2024. Total revenues comprise:</w:t>
      </w:r>
    </w:p>
    <w:p>
      <w:pPr>
        <w:spacing w:after="0" w:line="203" w:lineRule="exact"/>
        <w:rPr>
          <w:sz w:val="20"/>
          <w:szCs w:val="20"/>
          <w:color w:val="auto"/>
        </w:rPr>
      </w:pPr>
    </w:p>
    <w:p>
      <w:pPr>
        <w:jc w:val="both"/>
        <w:ind w:left="660" w:hanging="328"/>
        <w:spacing w:after="0" w:line="25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Revenues from Company owned and operated stores </w:t>
      </w:r>
      <w:r>
        <w:rPr>
          <w:rFonts w:ascii="Times New Roman" w:cs="Times New Roman" w:eastAsia="Times New Roman" w:hAnsi="Times New Roman"/>
          <w:sz w:val="18"/>
          <w:szCs w:val="18"/>
          <w:color w:val="auto"/>
        </w:rPr>
        <w:t>were RMB248.7 million (USD35.6 million) for the three months ended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 decrease of 8.0% from RMB270.2 million in the same quarter of 2024. The decrease was primarily attributable to closures of certain underperforming stores and a 1.4% decline in same-store sales growth for company owned and operated stores in the fourth quarter of 2025. The decrease was also attributable to an 8.4% year-over-year decrease in average ticket size, partially offset by a 3.0% increase in the number of orders from 9.5 million in the fourth quarter of 2024 to 9.8 million in the same quarter of 2025.</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revenues </w:t>
      </w:r>
      <w:r>
        <w:rPr>
          <w:rFonts w:ascii="Times New Roman" w:cs="Times New Roman" w:eastAsia="Times New Roman" w:hAnsi="Times New Roman"/>
          <w:sz w:val="18"/>
          <w:szCs w:val="18"/>
          <w:color w:val="auto"/>
        </w:rPr>
        <w:t>were RMB59.8 million (USD8.6 million) for the three months ended December 31, 2025, representing a decrease of 4.3%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RMB62.5 million in the same quarter of 2024. The decrease was primarily due to less franchised stores were opened in the fourth quarter of 2025 compared to that in the same quarter of 2024.</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owned and operated store costs and expenses </w:t>
      </w:r>
      <w:r>
        <w:rPr>
          <w:rFonts w:ascii="Times New Roman" w:cs="Times New Roman" w:eastAsia="Times New Roman" w:hAnsi="Times New Roman"/>
          <w:sz w:val="18"/>
          <w:szCs w:val="18"/>
          <w:color w:val="auto"/>
        </w:rPr>
        <w:t>were RMB257.3 million (USD36.8 million) for the three months ended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 decrease of 9.4% from RMB283.9 million in the same quarter of 2024. Company owned and operated store costs and expenses comprise:</w:t>
      </w:r>
    </w:p>
    <w:p>
      <w:pPr>
        <w:spacing w:after="0" w:line="155" w:lineRule="exact"/>
        <w:rPr>
          <w:sz w:val="20"/>
          <w:szCs w:val="20"/>
          <w:color w:val="auto"/>
        </w:rPr>
      </w:pPr>
    </w:p>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Food and packaging costs </w:t>
      </w:r>
      <w:r>
        <w:rPr>
          <w:rFonts w:ascii="Times New Roman" w:cs="Times New Roman" w:eastAsia="Times New Roman" w:hAnsi="Times New Roman"/>
          <w:sz w:val="18"/>
          <w:szCs w:val="18"/>
          <w:color w:val="auto"/>
        </w:rPr>
        <w:t>were RMB73.1 million (USD10.5 million) for the three months ended December 31, 2025, representing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13.8% from RMB84.8 million in the same quarter of 2024, which was in line with the revenue trend. As we continued to benefit from higher efficiencies in supply chains and cost reduction on raw materials, logistic and warehousing expenses, food and packaging costs as a percentage of revenues from company owned and operated stores decreased by 2.0 percentage points from 31.4% in the fourth quarter of 2024 to 29.4% in the same quarter of 2025.</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Rental and property management fees </w:t>
      </w:r>
      <w:r>
        <w:rPr>
          <w:rFonts w:ascii="Times New Roman" w:cs="Times New Roman" w:eastAsia="Times New Roman" w:hAnsi="Times New Roman"/>
          <w:sz w:val="18"/>
          <w:szCs w:val="18"/>
          <w:color w:val="auto"/>
        </w:rPr>
        <w:t>were RMB52.6 million (USD7.5 million) for the three months ended December 31, 2025, representing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7.4% from RMB56.9 million in the same quarter of 2024, which was in line with the revenue trend as the number of our company-owned and operated stores decreased from 576 as of December 31, 2024 to 562 as of December 31, 2025. Rental and property management fees as a percentage of revenues from company owned and operated stores increased slightly by 0.2 percentage points from 21.0% in the fourth quarter of 2024 to 21.2% in the same quarter of 2025.</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Payroll and employee benefits expenses </w:t>
      </w:r>
      <w:r>
        <w:rPr>
          <w:rFonts w:ascii="Times New Roman" w:cs="Times New Roman" w:eastAsia="Times New Roman" w:hAnsi="Times New Roman"/>
          <w:sz w:val="18"/>
          <w:szCs w:val="18"/>
          <w:color w:val="auto"/>
        </w:rPr>
        <w:t>were RMB50.6 million (USD7.2 million) for the three months ended December 31, 2025, representing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of 7.9% from RMB54.9 million in the same quarter of 2024, which was in line with the revenue trend. Payroll and employee benefits expenses as a percentage of revenues from company owned and operated stores remained stable at 20.3% in both the fourth quarter of 2024 and 2025.</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Delivery costs </w:t>
      </w:r>
      <w:r>
        <w:rPr>
          <w:rFonts w:ascii="Times New Roman" w:cs="Times New Roman" w:eastAsia="Times New Roman" w:hAnsi="Times New Roman"/>
          <w:sz w:val="18"/>
          <w:szCs w:val="18"/>
          <w:color w:val="auto"/>
        </w:rPr>
        <w:t>were RMB33.0 million (USD4.7 million) for the three months ended December 31, 2025, representing an increase of 15.5%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RMB28.6 million in the same quarter of 2024, which was in line with the 29.2% increase in delivery orders from 4.8 million in the fourth quarter of 2024 to 6.2 million in the same quarter of 2025. Delivery costs as a percentage of revenues from company owned and operated stores increased by 2.7 percentage points to 13.3% in the fourth quarter of 2025, compared to 10.6% in the same quarter of 2024, which was primarily due to delivery revenue as a percentage of revenues from company owned and operated stores increased from 51.8% in Q4 2024 to 65.6% in Q4 2025.</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operating expenses </w:t>
      </w:r>
      <w:r>
        <w:rPr>
          <w:rFonts w:ascii="Times New Roman" w:cs="Times New Roman" w:eastAsia="Times New Roman" w:hAnsi="Times New Roman"/>
          <w:sz w:val="18"/>
          <w:szCs w:val="18"/>
          <w:color w:val="auto"/>
        </w:rPr>
        <w:t>were RMB21.7 million (USD3.1 million) for the three months ended December 31, 2025, representing a decrease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4.4% from RMB22.7 million in the same quarter of 2024, which was in line with the revenue trend. Other operating expenses as a percentage of revenues from company owned and operated stores increased by 0.3 percentage points to 8.7% in the fourth quarter of 2025, compared to 8.4% in the same quarter of 2024.</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Store depreciation and amortization expenses </w:t>
      </w:r>
      <w:r>
        <w:rPr>
          <w:rFonts w:ascii="Times New Roman" w:cs="Times New Roman" w:eastAsia="Times New Roman" w:hAnsi="Times New Roman"/>
          <w:sz w:val="18"/>
          <w:szCs w:val="18"/>
          <w:color w:val="auto"/>
        </w:rPr>
        <w:t>were RMB26.2 million (USD3.7 million) for the three months ended December 31,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a decrease of 27.3% from RMB36.1 million in the same quarter of 2024, which was primarily due to impairment on property and equipment in relation to company owned and operated store closures and the reduced capital expenditures per store as a result of our initiatives to improve store unit economics. Store depreciation and amortization as a percentage of revenues from company owned and operated stores decreased by 2.9 percentage points to 10.5% in the fourth quarter of 2025, compared to 13.4% in the same quarter of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Costs of other revenues </w:t>
      </w:r>
      <w:r>
        <w:rPr>
          <w:rFonts w:ascii="Times New Roman" w:cs="Times New Roman" w:eastAsia="Times New Roman" w:hAnsi="Times New Roman"/>
          <w:sz w:val="18"/>
          <w:szCs w:val="18"/>
          <w:color w:val="auto"/>
        </w:rPr>
        <w:t>were RMB41.5 million (USD5.9 million) for the three months ended December 31, 2025, representing a decrease of 14.4%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RMB48.5 million in the same quarter of 2024, which was in line with the revenue trend. Costs of other revenues as a percentage of other revenues decreased by 8.3 percentage points from 77.7% in the fourth quarter of 2024 to 69.4% in the same quarter of 2025 due to higher margin we generated from franchise business during the fourth quarter of 2025.</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Marketing expenses </w:t>
      </w:r>
      <w:r>
        <w:rPr>
          <w:rFonts w:ascii="Times New Roman" w:cs="Times New Roman" w:eastAsia="Times New Roman" w:hAnsi="Times New Roman"/>
          <w:sz w:val="18"/>
          <w:szCs w:val="18"/>
          <w:color w:val="auto"/>
        </w:rPr>
        <w:t>were RMB16.3 million (USD2.3 million) for the three months ended December 31, 2025, representing an increase of 18.4%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RMB13.8 million in the same quarter of 2024, as we expanded our branding initiatives and promotional offers. Accordingly, marketing expenses as a percentage of total revenues increased by 1.2 percentage points from 4.1% in the fourth quarter of 2024 to 5.3% in the same quarter of 2025.</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RMB63.0 million (USD9.0 million) for the three months ended December 31, 2025, representing a decrease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17.4% from RMB76.3 million in the same quarter of 2024, which was primarily due to a RMB9.7 million (USD1.4 million) decrease in credit loss of account receivables. As a result of the foregoing, </w:t>
      </w:r>
      <w:r>
        <w:rPr>
          <w:rFonts w:ascii="Times New Roman" w:cs="Times New Roman" w:eastAsia="Times New Roman" w:hAnsi="Times New Roman"/>
          <w:sz w:val="18"/>
          <w:szCs w:val="18"/>
          <w:b w:val="1"/>
          <w:bCs w:val="1"/>
          <w:color w:val="auto"/>
        </w:rPr>
        <w:t>adjusted general and administrative expenses,</w:t>
      </w:r>
      <w:r>
        <w:rPr>
          <w:rFonts w:ascii="Times New Roman" w:cs="Times New Roman" w:eastAsia="Times New Roman" w:hAnsi="Times New Roman"/>
          <w:sz w:val="18"/>
          <w:szCs w:val="18"/>
          <w:color w:val="auto"/>
        </w:rPr>
        <w:t xml:space="preserve"> which excludes: (i) share-based compensation expenses of RMB0.4 million (USD0.1 million), (ii) professional fees related to financing programs of RMB15.2 million (USD2.2 million); and (iii) reversal of impairment losses of rental deposits of RMB1.2 million (USD0.2 million), were RMB48.6 million (USD7.0 million), representing a decrease of 36.9% from RMB77.1 million in the same quarter of 2024. Adjusted general and administrative expenses as a percentage of total revenues decreased by 7.4 percentage points from 23.2% in the fourth quarter of 2024 to 15.8% in the same quarter of 2025. For more information on the Company’s non-GAAP financial measures, please see “Use of Non-GAAP Financial Measures” and “Reconciliation of Non-GAAP Measures to the Most Directly Comparable GAAP Measures” set forth at the end of this earnings release.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Franchise and royalty expenses </w:t>
      </w:r>
      <w:r>
        <w:rPr>
          <w:rFonts w:ascii="Times New Roman" w:cs="Times New Roman" w:eastAsia="Times New Roman" w:hAnsi="Times New Roman"/>
          <w:sz w:val="18"/>
          <w:szCs w:val="18"/>
          <w:color w:val="auto"/>
        </w:rPr>
        <w:t>were RMB15.4 million (USD2.2 million) for the three months ended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 from RMB14.0 million in the same quarter of 2024, which was primarily due to an increase in the number of systemwide stores from 1,022 as of December 31, 2024 to 1,047 as of December 31, 2025 and a higher royalty rate applicable. Accordingly, franchise and royalty expenses as a percentage of total revenues increased by 0.8 percentage points, from 4.2% in the fourth quarter of 2024 to 5.0% in the same quarter of 2025.</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Impairment losses of long-lived assets </w:t>
      </w:r>
      <w:r>
        <w:rPr>
          <w:rFonts w:ascii="Times New Roman" w:cs="Times New Roman" w:eastAsia="Times New Roman" w:hAnsi="Times New Roman"/>
          <w:sz w:val="18"/>
          <w:szCs w:val="18"/>
          <w:color w:val="auto"/>
        </w:rPr>
        <w:t>were RMB31.2 million (USD4.5 million) for the three months ended December 31, 2025, compared to RMB15.9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quarter of 2024, which was primarily due to an increase in the number of planned closures of underperforming company owned and operated stores.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As a result of the foregoing, </w:t>
      </w:r>
      <w:r>
        <w:rPr>
          <w:rFonts w:ascii="Times New Roman" w:cs="Times New Roman" w:eastAsia="Times New Roman" w:hAnsi="Times New Roman"/>
          <w:sz w:val="18"/>
          <w:szCs w:val="18"/>
          <w:b w:val="1"/>
          <w:bCs w:val="1"/>
          <w:color w:val="auto"/>
        </w:rPr>
        <w:t>operating loss</w:t>
      </w:r>
      <w:r>
        <w:rPr>
          <w:rFonts w:ascii="Times New Roman" w:cs="Times New Roman" w:eastAsia="Times New Roman" w:hAnsi="Times New Roman"/>
          <w:sz w:val="18"/>
          <w:szCs w:val="18"/>
          <w:color w:val="auto"/>
        </w:rPr>
        <w:t xml:space="preserve"> was RMB118.6 million (USD17.0 million) for the three months ended December 31, 2025, compared to RMB117.2 million in the same quarter of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Corporate EBITDA </w:t>
      </w:r>
      <w:r>
        <w:rPr>
          <w:rFonts w:ascii="Times New Roman" w:cs="Times New Roman" w:eastAsia="Times New Roman" w:hAnsi="Times New Roman"/>
          <w:sz w:val="18"/>
          <w:szCs w:val="18"/>
          <w:color w:val="auto"/>
        </w:rPr>
        <w:t>was a loss of RMB35.4 million (USD5.1 million) for the three months ended December 31, 2025, compared to a loss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RMB49.4 million in the same quarter of 2024. </w:t>
      </w:r>
      <w:r>
        <w:rPr>
          <w:rFonts w:ascii="Times New Roman" w:cs="Times New Roman" w:eastAsia="Times New Roman" w:hAnsi="Times New Roman"/>
          <w:sz w:val="18"/>
          <w:szCs w:val="18"/>
          <w:b w:val="1"/>
          <w:bCs w:val="1"/>
          <w:color w:val="auto"/>
        </w:rPr>
        <w:t>Adjusted Corporate EBITDA margin</w:t>
      </w:r>
      <w:r>
        <w:rPr>
          <w:rFonts w:ascii="Times New Roman" w:cs="Times New Roman" w:eastAsia="Times New Roman" w:hAnsi="Times New Roman"/>
          <w:sz w:val="18"/>
          <w:szCs w:val="18"/>
          <w:color w:val="auto"/>
        </w:rPr>
        <w:t xml:space="preserve"> was negative 11.6% in the fourth quarter of 2025, compared to negative 14.9% in the same quarter of 2024.</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loss from continuing operations </w:t>
      </w:r>
      <w:r>
        <w:rPr>
          <w:rFonts w:ascii="Times New Roman" w:cs="Times New Roman" w:eastAsia="Times New Roman" w:hAnsi="Times New Roman"/>
          <w:sz w:val="18"/>
          <w:szCs w:val="18"/>
          <w:color w:val="auto"/>
        </w:rPr>
        <w:t>was RMB227.2 million (USD32.5 million) for the three months ended December 31, 2025, compared to RMB138.9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million for the same quarter of 2024. </w:t>
      </w:r>
      <w:r>
        <w:rPr>
          <w:rFonts w:ascii="Times New Roman" w:cs="Times New Roman" w:eastAsia="Times New Roman" w:hAnsi="Times New Roman"/>
          <w:sz w:val="18"/>
          <w:szCs w:val="18"/>
          <w:b w:val="1"/>
          <w:bCs w:val="1"/>
          <w:color w:val="auto"/>
        </w:rPr>
        <w:t>Adjusted net loss</w:t>
      </w:r>
      <w:r>
        <w:rPr>
          <w:rFonts w:ascii="Times New Roman" w:cs="Times New Roman" w:eastAsia="Times New Roman" w:hAnsi="Times New Roman"/>
          <w:sz w:val="18"/>
          <w:szCs w:val="18"/>
          <w:color w:val="auto"/>
        </w:rPr>
        <w:t xml:space="preserve"> was RMB75.7 million (USD10.8 million) for the three months ended December 31, 2025, compared to RMB98.0 million for the same quarter of 2024. </w:t>
      </w:r>
      <w:r>
        <w:rPr>
          <w:rFonts w:ascii="Times New Roman" w:cs="Times New Roman" w:eastAsia="Times New Roman" w:hAnsi="Times New Roman"/>
          <w:sz w:val="18"/>
          <w:szCs w:val="18"/>
          <w:b w:val="1"/>
          <w:bCs w:val="1"/>
          <w:color w:val="auto"/>
        </w:rPr>
        <w:t>Adjusted net loss margin</w:t>
      </w:r>
      <w:r>
        <w:rPr>
          <w:rFonts w:ascii="Times New Roman" w:cs="Times New Roman" w:eastAsia="Times New Roman" w:hAnsi="Times New Roman"/>
          <w:sz w:val="18"/>
          <w:szCs w:val="18"/>
          <w:color w:val="auto"/>
        </w:rPr>
        <w:t xml:space="preserve"> was negative 24.7% in the fourth quarter of 2025, compared to negative 29.5% in the same quarter of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RMB227.2 million (USD32.5 million) for the three months ended December 31, 2025, compared to RMB132.4 million for the same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Basic and diluted loss per ordinary share </w:t>
      </w:r>
      <w:r>
        <w:rPr>
          <w:rFonts w:ascii="Times New Roman" w:cs="Times New Roman" w:eastAsia="Times New Roman" w:hAnsi="Times New Roman"/>
          <w:sz w:val="18"/>
          <w:szCs w:val="18"/>
          <w:color w:val="auto"/>
        </w:rPr>
        <w:t>was RMB7.01 (USD1.00) in the fourth quarter of 2025, compared to RMB4.05 in the same quarter of 2024.</w:t>
      </w:r>
      <w:r>
        <w:rPr>
          <w:rFonts w:ascii="Times New Roman" w:cs="Times New Roman" w:eastAsia="Times New Roman" w:hAnsi="Times New Roman"/>
          <w:sz w:val="18"/>
          <w:szCs w:val="18"/>
          <w:b w:val="1"/>
          <w:bCs w:val="1"/>
          <w:color w:val="auto"/>
        </w:rPr>
        <w:t xml:space="preserve"> Adjusted basic and diluted net loss per ordinary share </w:t>
      </w:r>
      <w:r>
        <w:rPr>
          <w:rFonts w:ascii="Times New Roman" w:cs="Times New Roman" w:eastAsia="Times New Roman" w:hAnsi="Times New Roman"/>
          <w:sz w:val="18"/>
          <w:szCs w:val="18"/>
          <w:color w:val="auto"/>
        </w:rPr>
        <w:t>was RMB2.36 (USD0.34) in the fourth quarter of 2025, compared to RMB2.99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total cash and cash equivalents, restricted cash and time deposits were RMB129.7 million (USD18.5 million), compared to RMB184.2 million as of December 31, 2024. The change was primarily attributable to cash disbursements on the back of the expansion of our business, partially offset by the draw-down of additional bank borrowings.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OPERATING DATA</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Tims only</w:t>
            </w: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8"/>
                <w:szCs w:val="18"/>
                <w:b w:val="1"/>
                <w:bCs w:val="1"/>
                <w:color w:val="auto"/>
              </w:rPr>
              <w:t>For the three months ended or as of</w:t>
            </w: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7"/>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Sep 30,</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 31,</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 31,</w:t>
            </w: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Jun 30,</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Sep 30,</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160" w:type="dxa"/>
            <w:vAlign w:val="bottom"/>
          </w:tcPr>
          <w:p>
            <w:pPr>
              <w:spacing w:after="0"/>
              <w:rPr>
                <w:sz w:val="18"/>
                <w:szCs w:val="18"/>
                <w:color w:val="auto"/>
              </w:rPr>
            </w:pPr>
          </w:p>
        </w:tc>
      </w:tr>
      <w:tr>
        <w:trPr>
          <w:trHeight w:val="245"/>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(Exclude the discontinued business)</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4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1,022</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1,047</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and operated stores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569</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stores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 to order (MTO) stores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652</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692</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Non-MTO stores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Same-store sales growth for system-wide stores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198"/>
        </w:trPr>
        <w:tc>
          <w:tcPr>
            <w:tcW w:w="4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Same-store sales growth for company owned and operated</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loyalty club members (in thousands)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22,815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24,045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25,150</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26,192</w:t>
            </w: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27,900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31,021</w:t>
            </w:r>
          </w:p>
        </w:tc>
      </w:tr>
      <w:tr>
        <w:trPr>
          <w:trHeight w:val="198"/>
        </w:trPr>
        <w:tc>
          <w:tcPr>
            <w:tcW w:w="4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Company owned and operated store contribution</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(Renminbi in thousands)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39,922</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12,973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17,154</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27,176</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21,786</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9,164</w:t>
            </w: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and operated store contribution margin</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DEFINITIONS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Same-store sales growth. The percentage change in the sales of stores that have been operating for 12 months or longer during a certain period compared to the same period from the prior year. The same-store sales growth for any period of more than a month equals to the arithmetic average of the same-store sales growth of each month covered in the period. If a store was closed for seven days or more during any given month, its sales during that month and the same month in the comparison period are excluded for purposes of measuring same-store sales growth.</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new store openings. The gross number of new stores opened during the period minus the number of stores permanently closed during the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Gross merchandise value of sales generated from both company owned and operated stores and franchised stores.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owned and operated store contribution (previously reported as adjusted store EBITDA). Calculated as fully burdened gross profit of company owned and operated stores excluding depreciation and amortization.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owned and operated store contribution margin (previously reported as adjusted store EBITDA margin). Calculated as company owned and operated store contribution as a percentage of revenues from company owned and operated stores.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general and administrative expenses. Calculated as general and administrative expenses excluding share-based compensation expenses, expenses related to the issuance of certain ordinary shares to CF Principal Investments LLC in November 2022 (the “Commitment Shares”), offering costs related to the ESA (the “ESA Offering Costs”), expenses related to 200,000 of our ordinary shares that may be purchased from our controlling shareholder by a holder of our convertible notes at its option pursuant to the terms of an Option Agreement dated September 28, 2022 (the “Option Shares”), professional fees related to warrant exchange and other financing programs, and impairment losses of rental deposits.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corporate EBITDA. Calculated as operating loss for continuing operations excluding certain non-cash expenses consisting of depreciation and amortization, share-based compensation expenses, impairment losses of long-lived assets, loss on disposal of property and equipment, expenses related to the Commitment Shares, the ESA Offering Costs, the Option Shares, professional fees related to warrant exchange and other financing programs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impairment losses of rental deposits.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corporate EBITDA margin. Calculated as adjusted corporate EBITDA as a percentage of total revenues.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net loss. Calculated as net loss for continuing operations excluding share-based compensation expenses, impairment losses of long-lived assets, loss on disposal of property and equipment, expenses related to the Commitment Shares, the ESA Offering Costs, the Option Shares, professional fees related to warrant exchange and other financing programs,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mpairment losses of rental deposits, changes in fair value of convertible notes, changes in fair value of warrant liabilities, changes in fair value of ESA derivative liabilities, loss of the debt extinguishment and gain on disposal of Popeyes business.</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margin. Calculated as adjusted net loss as a percentage of total revenues.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basic and diluted net loss per ordinary share. Calculated as adjusted net loss attributable to the Company’s ordinary shareholders divided by weighted-average number of basic and diluted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celebrate the dual anniversaries with its over 31 million registered loyalty club members, Tims China partnered with Air Canada to launch a special “Maple Journey” campaign in February 2026, offering four round-trip tickets between Shanghai and a city of choice in Canada. This exclusive promotion serves as a heartfelt thank-you to Chinese consumers for their support over the past seven years, connecting Shanghai and Canada through both coffee and travel. Tims China’s connection with travel extends beyond this partnership. In recent years, the brand has expanded into key transportation hubs, including airports, high-speed rail stations, and highway service areas, bringing Tims stores to major transit points. Whether in the air or on the move across cities, travelers can enjoy a delicious and trusted Tims experience.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uses non-GAAP financial measures, namely company owned and operated store contribution, company owned and operated store contribution margin, adjusted general and administrative expenses, adjusted corporate EBITDA, adjusted corporate EBITDA margin, adjusted net loss, adjusted net loss margin, and adjusted basic and diluted net loss per ordinary share in evaluating its operating results and for financial and operational decision-making purposes. The Company defines (i) company owned and operated store contribution as fully burdened gross profit of company owned and operated stores excluding depreciation and amortization; (ii) company owned and operated store contribution margin as company owned and operated store contribution as a percentage of revenues from company owned and operated stores; (iii) adjusted general and administrative expenses as general and administrative expenses excluding share-based compensation expenses, expenses related to the Commitment Shares, the ESA Offering Costs, the Option Shares, professional fees related to warrant exchange and other financing programs, and impairment losses of rental deposits; (iv) adjusted corporate EBITDA as operating loss for continuing operations excluding certain non-cash expenses consisting of depreciation and amortization, share-based compensation expenses, impairment losses of long-lived assets, loss on disposal of property and equipment, expenses related to the Commitment Shares, the ESA Offering Costs, the Option Shares, professional fees related to warrant exchange and other financing programs, and impairment losses of rental deposits; (v) adjusted corporate EBITDA margin as adjusted corporate EBITDA as a percentage of total revenues; (vi) adjusted net loss as net loss for continuing operations excluding share-based compensation expenses, impairment losses of long-lived assets, loss on disposal of property and equipment, expenses related to the Commitment Shares, the ESA Offering Costs, the Option Shares, professional fees related to warrant exchange and other financing programs, impairment losses of rental deposits, changes in fair value of convertible notes, changes in fair value of warrant liabilities, changes in fair value of ESA derivative liabilities, loss of the debt extinguishment and gain on disposal of Popeyes business; (vii) adjusted net loss margin as adjusted net loss as a percentage of total revenues; and (viii) adjusted basic and diluted net loss per ordinary share as adjusted net loss for continuing operations attributable to the Company’s ordinary shareholders divided by weighted-average number of basic and diluted ordinary share. The Company believes company owned and operated store contribution, company owned and operated store contribution margin, adjusted general and administrative expenses, adjusted corporate EBITDA, adjusted corporate EBITDA margin, adjusted net loss, adjusted net loss margin, and adjusted basic and diluted net loss per ordinary share enhance investors’ overall understanding of its financial performance and allow for greater visibility with respect to key metrics used by its management in its financial and operational decision-making.</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are not defined under U.S. GAAP and are not presented in accordance with U.S. GAAP. As these non-GAAP financial measures have limitations as analytical tools and may not be calculated in the same manner by all companies, they may not be comparable to other similarly titled measures used by other companies. The Company compensates for these limitations by reconciling the non-GAAP financial measures to the nearest U.S. GAAP performance measures, which should be considered when evaluating the Company’s performance. For reconciliation of these non-GAAP financial measures to the most directly comparable GAAP financial measures, please see the section of the accompanying tables titled, “Reconciliation of Non-GAAP Measures to the Most Directly Comparable GAAP Measures.” The Company encourages investors and others to review its financial information in its entirety and not rely on any single financial measure.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earnings release contains translations of certain RMB amounts into U.S. dollars (“USD”) at specified rates solely for the convenience of the reader. Unless otherwise stated, all translations from RMB to USD were made at the rate of RMB6.9931 to USD1.00, the exchange rate in effect on December 31, 2025 set forth in the H.10 statistical release of the Federal Reserve Board. The Company makes no representation that the RMB or USD amounts referred could be converted into USD or RMB, as the case may be, at any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hold a conference call today, on Tuesday, April 14, 2026, at 8:00 am Eastern Time (on Tuesday, April 14, 2026, at 8:00 pm Beijing Time) to discuss the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strongly encouraged to pre-register for the conference call, by using the weblink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https://register-conf.media-server.com/register/BIa8caf52166d74ea2961e15361ea8e13f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may also view the live webcast by registering through below weblink: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https://edge.media-server.com/mmc/p/ro58awqs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features a ’Submit Your Question’ tab at the top, where you will have the opportunity to submit your questions before and during the call.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https://ir.timschina.com under “Events and Presentations”.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earnings release may be considered forward-looking statements within the meaning of the “safe harbor” provisions of the United States Private Securities Litigation Reform Act of 1995, such as the Company’s ability to further grow its business and store network, optimize its cost structure, improve its operational efficiency, and achieve profitable growth.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Annual Report on Form 20-F, and other filings it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Except as required by law,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STATEMENT REGARDING PRELIMINARY UNAUDITED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 Accordingly, you should not place undue reliance upon these preliminary estimates. The preliminary unaudited financial information included in this press release has been prepared by, and is the responsibility of, the Company’s management. The Company’s auditor has not audited, reviewed, compiled, or applied agreed-upon procedures with respect to such preliminary financial data. Accordingly, the Company’s auditor does not express an opinion or any other form of assurance with respect thereto. Upon completion of the year-end audit, the Company’s audited financial results may differ materially from its preliminary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 INTERNATIONAL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 International Limited (Nasdaq: THCH) (“Tims China”) is the parent company of the exclusive master franchisees of Tim Hortons coffee shops in mainland China, Hong Kong and Macau. Tims China was founded by Cartesian Capital Group and Tim Hortons Restaurants International, a subsidiary of Restaurant Brands International (TSX: QSR) (NYSE: QSR).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philosophy is rooted in world-class execution and data-driven decision making and centered around true local relevance, continuous innovation, genuine community, and absolute convenience. For more information, please visit https://www.timschina.com.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IR@timschina.com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and 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Patty Yu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Patty.Yu@timschina.com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TH INTERNATIONAL LIMITED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number of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9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80" w:type="dxa"/>
            <w:vAlign w:val="bottom"/>
            <w:gridSpan w:val="2"/>
          </w:tcPr>
          <w:p>
            <w:pPr>
              <w:jc w:val="center"/>
              <w:ind w:right="16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356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2540" w:type="dxa"/>
            <w:vAlign w:val="bottom"/>
            <w:gridSpan w:val="4"/>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RMB</w:t>
            </w: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152,368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121,795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17,416</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31,869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7,916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5,858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30,526</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17,692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37,578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36,793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158,882</w:t>
            </w:r>
          </w:p>
        </w:tc>
        <w:tc>
          <w:tcPr>
            <w:tcW w:w="240" w:type="dxa"/>
            <w:vAlign w:val="bottom"/>
          </w:tcPr>
          <w:p>
            <w:pPr>
              <w:spacing w:after="0"/>
              <w:rPr>
                <w:sz w:val="19"/>
                <w:szCs w:val="19"/>
                <w:color w:val="auto"/>
              </w:rPr>
            </w:pP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142,235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20,340</w:t>
            </w:r>
          </w:p>
        </w:tc>
        <w:tc>
          <w:tcPr>
            <w:tcW w:w="0" w:type="dxa"/>
            <w:vAlign w:val="bottom"/>
          </w:tcPr>
          <w:p>
            <w:pPr>
              <w:spacing w:after="0"/>
              <w:rPr>
                <w:sz w:val="1"/>
                <w:szCs w:val="1"/>
                <w:color w:val="auto"/>
              </w:rPr>
            </w:pPr>
          </w:p>
        </w:tc>
      </w:tr>
      <w:tr>
        <w:trPr>
          <w:trHeight w:val="27"/>
        </w:trPr>
        <w:tc>
          <w:tcPr>
            <w:tcW w:w="49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vMerge w:val="continue"/>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417,081</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326,626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46,707</w:t>
            </w:r>
          </w:p>
        </w:tc>
        <w:tc>
          <w:tcPr>
            <w:tcW w:w="0" w:type="dxa"/>
            <w:vAlign w:val="bottom"/>
          </w:tcPr>
          <w:p>
            <w:pPr>
              <w:spacing w:after="0"/>
              <w:rPr>
                <w:sz w:val="1"/>
                <w:szCs w:val="1"/>
                <w:color w:val="auto"/>
              </w:rPr>
            </w:pPr>
          </w:p>
        </w:tc>
      </w:tr>
      <w:tr>
        <w:trPr>
          <w:trHeight w:val="21"/>
        </w:trPr>
        <w:tc>
          <w:tcPr>
            <w:tcW w:w="49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502,159</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332,070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47,485</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97,019</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81,014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11,585</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493,308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348,916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49,894</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53,967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88,051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12,592</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1,146,453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850,051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121,556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1,563,534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1,176,677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168,263</w:t>
            </w:r>
          </w:p>
        </w:tc>
        <w:tc>
          <w:tcPr>
            <w:tcW w:w="0" w:type="dxa"/>
            <w:vAlign w:val="bottom"/>
          </w:tcPr>
          <w:p>
            <w:pPr>
              <w:spacing w:after="0"/>
              <w:rPr>
                <w:sz w:val="1"/>
                <w:szCs w:val="1"/>
                <w:color w:val="auto"/>
              </w:rPr>
            </w:pPr>
          </w:p>
        </w:tc>
      </w:tr>
      <w:tr>
        <w:trPr>
          <w:trHeight w:val="21"/>
        </w:trPr>
        <w:tc>
          <w:tcPr>
            <w:tcW w:w="49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SHAREHOLDERS’EQUITY</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borrowings, current</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381,263</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395,088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56,497</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223,838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199,152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28,478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39,678</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37,197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5,319</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48,117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17,414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at fair value</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473,716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178,115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180,806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25,855</w:t>
            </w:r>
          </w:p>
        </w:tc>
        <w:tc>
          <w:tcPr>
            <w:tcW w:w="0" w:type="dxa"/>
            <w:vAlign w:val="bottom"/>
          </w:tcPr>
          <w:p>
            <w:pPr>
              <w:spacing w:after="0"/>
              <w:rPr>
                <w:sz w:val="1"/>
                <w:szCs w:val="1"/>
                <w:color w:val="auto"/>
              </w:rPr>
            </w:pPr>
          </w:p>
        </w:tc>
      </w:tr>
      <w:tr>
        <w:trPr>
          <w:trHeight w:val="250"/>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191,205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172,605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24,683</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1,535,932</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1,002,262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143,322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at fair value</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464,847</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1,152,723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164,837</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8,022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10,133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380,075</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240,282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34,360</w:t>
            </w:r>
          </w:p>
        </w:tc>
        <w:tc>
          <w:tcPr>
            <w:tcW w:w="0" w:type="dxa"/>
            <w:vAlign w:val="bottom"/>
          </w:tcPr>
          <w:p>
            <w:pPr>
              <w:spacing w:after="0"/>
              <w:rPr>
                <w:sz w:val="1"/>
                <w:szCs w:val="1"/>
                <w:color w:val="auto"/>
              </w:rPr>
            </w:pPr>
          </w:p>
        </w:tc>
      </w:tr>
      <w:tr>
        <w:trPr>
          <w:trHeight w:val="237"/>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7,673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7,712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36"/>
        </w:trPr>
        <w:tc>
          <w:tcPr>
            <w:tcW w:w="4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860,617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1,410,850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2,396,549</w:t>
            </w:r>
          </w:p>
        </w:tc>
        <w:tc>
          <w:tcPr>
            <w:tcW w:w="2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2,413,112</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345,071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1,818,421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1,821,605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260,486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losses</w:t>
            </w:r>
          </w:p>
        </w:tc>
        <w:tc>
          <w:tcPr>
            <w:tcW w:w="38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(2,668,505)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(3,102,994)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(443,722)</w:t>
            </w: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9,185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38,393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4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shares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deficit attributable to shareholders of the Company</w:t>
            </w:r>
          </w:p>
        </w:tc>
        <w:tc>
          <w:tcPr>
            <w:tcW w:w="24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(840,889)</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(1,242,986)</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(177,745)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7,874</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6,551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24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(833,015</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(1,236,435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(176,808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80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1,563,534</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1,176,677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168,263</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24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420" w:gutter="0" w:footer="0" w:header="0"/>
        </w:sectPr>
      </w:pPr>
    </w:p>
    <w:bookmarkStart w:id="13" w:name="page14"/>
    <w:bookmarkEnd w:id="13"/>
    <w:p>
      <w:pPr>
        <w:spacing w:after="0" w:line="2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TH INTERNATIONAL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of RMB and US$, except for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960" w:type="dxa"/>
            <w:vAlign w:val="bottom"/>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2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3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30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3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300" w:type="dxa"/>
            <w:vAlign w:val="bottom"/>
          </w:tcPr>
          <w:p>
            <w:pPr>
              <w:spacing w:after="0"/>
              <w:rPr>
                <w:sz w:val="20"/>
                <w:szCs w:val="20"/>
                <w:color w:val="auto"/>
              </w:rPr>
            </w:pPr>
          </w:p>
        </w:tc>
        <w:tc>
          <w:tcPr>
            <w:tcW w:w="7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8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top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RMB</w:t>
            </w:r>
          </w:p>
        </w:tc>
        <w:tc>
          <w:tcPr>
            <w:tcW w:w="6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owned and operated stores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270,152</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248,654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35,557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1,188,293</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1,068,169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152,747</w:t>
            </w:r>
          </w:p>
        </w:tc>
      </w:tr>
      <w:tr>
        <w:trPr>
          <w:trHeight w:val="23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62,473</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59,806</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202,865</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248,027</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35,467</w:t>
            </w: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332,625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308,460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44,109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1,391,158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1,316,196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188,214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 net: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and operated stores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packaging</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84,797</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73,131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374,086</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321,948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46,038</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Rental and property management fee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56,854</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52,633</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7,526</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241,425</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220,885</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31,586</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54,880</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50,563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7,230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231,542</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199,342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28,506</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Delivery costs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28,584</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33,027</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119,171</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130,649</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18,682</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22,745</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21,733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95,036</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12,057</w:t>
            </w: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Store depreciation and amortization</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36,074</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26,213</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129,614</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107,930</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15,434</w:t>
            </w: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 owned and operated store costs and expenses</w:t>
            </w:r>
          </w:p>
        </w:tc>
        <w:tc>
          <w:tcPr>
            <w:tcW w:w="7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283,934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257,300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36,793</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1,190,874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1,065,071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of other revenues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48,532</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41,531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153,612</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171,326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24,499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13,764</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16,298</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64,849</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63,457</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9,074</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76,321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63,034</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210,323</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204,341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Franchise and royalty expenses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13,952</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15,388</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57,761</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62,736</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8,971</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10,794</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431</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4,147</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6,470</w:t>
            </w: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15,901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31,232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56,287</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60,320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8,626</w:t>
            </w: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3,338</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8,408</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3,455</w:t>
            </w: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 net</w:t>
            </w:r>
          </w:p>
        </w:tc>
        <w:tc>
          <w:tcPr>
            <w:tcW w:w="7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5"/>
              </w:rPr>
              <w:t>449,812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427,077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1,740,239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1,633,549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233,595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(117,187)</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(118,617)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(16,962)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(349,081)</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(317,353)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(45,381)</w:t>
            </w:r>
          </w:p>
        </w:tc>
      </w:tr>
      <w:tr>
        <w:trPr>
          <w:trHeight w:val="216"/>
        </w:trPr>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982</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3,203</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(3,706)</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(4,017)</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(16,679)</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(2,385)</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(933)</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3,484</w:t>
            </w:r>
          </w:p>
        </w:tc>
        <w:tc>
          <w:tcPr>
            <w:tcW w:w="1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Loss of the debt extinguishment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(73,078)</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(10,657)</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(73,078)</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(10,450)</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Deferred Contingent consideration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2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convertible notes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(17,413)</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(31,493)</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(65,874)</w:t>
            </w: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(30,627)</w:t>
            </w: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(4,380)</w:t>
            </w: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900" w:orient="portrait"/>
          <w:cols w:equalWidth="0" w:num="1">
            <w:col w:w="11240"/>
          </w:cols>
          <w:pgMar w:left="320" w:top="1440" w:right="339" w:bottom="0" w:gutter="0" w:footer="0" w:header="0"/>
        </w:sectPr>
      </w:pPr>
    </w:p>
    <w:p>
      <w:pPr>
        <w:ind w:right="5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Loss from continuing operations before income taxes </w:t>
      </w:r>
      <w:r>
        <w:rPr>
          <w:rFonts w:ascii="Times New Roman" w:cs="Times New Roman" w:eastAsia="Times New Roman" w:hAnsi="Times New Roman"/>
          <w:sz w:val="18"/>
          <w:szCs w:val="18"/>
          <w:color w:val="auto"/>
        </w:rPr>
        <w:t>Income tax expenses</w:t>
      </w:r>
    </w:p>
    <w:p>
      <w:pPr>
        <w:spacing w:after="0"/>
        <w:rPr>
          <w:sz w:val="20"/>
          <w:szCs w:val="20"/>
          <w:color w:val="auto"/>
        </w:rPr>
      </w:pPr>
      <w:r>
        <w:rPr>
          <w:rFonts w:ascii="Times New Roman" w:cs="Times New Roman" w:eastAsia="Times New Roman" w:hAnsi="Times New Roman"/>
          <w:sz w:val="18"/>
          <w:szCs w:val="18"/>
          <w:b w:val="1"/>
          <w:bCs w:val="1"/>
          <w:color w:val="auto"/>
        </w:rPr>
        <w:t>Net loss from continuing operations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98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(138,257)</w:t>
            </w:r>
          </w:p>
        </w:tc>
        <w:tc>
          <w:tcPr>
            <w:tcW w:w="100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(227,184)</w:t>
            </w:r>
          </w:p>
        </w:tc>
        <w:tc>
          <w:tcPr>
            <w:tcW w:w="98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(32,487)</w:t>
            </w:r>
          </w:p>
        </w:tc>
        <w:tc>
          <w:tcPr>
            <w:tcW w:w="1040" w:type="dxa"/>
            <w:vAlign w:val="bottom"/>
            <w:gridSpan w:val="2"/>
          </w:tcPr>
          <w:p>
            <w:pPr>
              <w:jc w:val="right"/>
              <w:ind w:right="61"/>
              <w:spacing w:after="0" w:line="198" w:lineRule="exact"/>
              <w:rPr>
                <w:sz w:val="20"/>
                <w:szCs w:val="20"/>
                <w:color w:val="auto"/>
              </w:rPr>
            </w:pPr>
            <w:r>
              <w:rPr>
                <w:rFonts w:ascii="Times New Roman" w:cs="Times New Roman" w:eastAsia="Times New Roman" w:hAnsi="Times New Roman"/>
                <w:sz w:val="18"/>
                <w:szCs w:val="18"/>
                <w:color w:val="auto"/>
              </w:rPr>
              <w:t>(458,314)</w:t>
            </w:r>
          </w:p>
        </w:tc>
        <w:tc>
          <w:tcPr>
            <w:tcW w:w="106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(435,329)</w:t>
            </w:r>
          </w:p>
        </w:tc>
        <w:tc>
          <w:tcPr>
            <w:tcW w:w="8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(62,251)</w:t>
            </w:r>
          </w:p>
        </w:tc>
      </w:tr>
      <w:tr>
        <w:trPr>
          <w:trHeight w:val="255"/>
        </w:trPr>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(2,115)</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(138,873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(227,184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(460,429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(435,813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(62,320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7"/>
        </w:trPr>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-316865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900" w:orient="portrait"/>
          <w:cols w:equalWidth="0" w:num="2">
            <w:col w:w="4580" w:space="720"/>
            <w:col w:w="5940"/>
          </w:cols>
          <w:pgMar w:left="320" w:top="1440"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530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Income from discontinued operations before income taxes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including</w:t>
            </w: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Popeyes business RMB66,203 thousand in 2024)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before income taxes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51,444</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(132,388)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(227,184)</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(32,487)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(408,985)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(435,813)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(62,320)</w:t>
            </w:r>
          </w:p>
        </w:tc>
      </w:tr>
      <w:tr>
        <w:trPr>
          <w:trHeight w:val="21"/>
        </w:trPr>
        <w:tc>
          <w:tcPr>
            <w:tcW w:w="5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ectPr>
          <w:pgSz w:w="11900" w:h="16900" w:orient="portrait"/>
          <w:cols w:equalWidth="0" w:num="1">
            <w:col w:w="11240"/>
          </w:cols>
          <w:pgMar w:left="320" w:top="1440" w:right="339" w:bottom="0" w:gutter="0" w:footer="0" w:header="0"/>
          <w:type w:val="continuous"/>
        </w:sectPr>
      </w:pPr>
    </w:p>
    <w:p>
      <w:pPr>
        <w:jc w:val="both"/>
        <w:spacing w:after="0" w:line="257" w:lineRule="auto"/>
        <w:rPr>
          <w:sz w:val="20"/>
          <w:szCs w:val="20"/>
          <w:color w:val="auto"/>
        </w:rPr>
      </w:pPr>
      <w:r>
        <w:rPr>
          <w:rFonts w:ascii="Times New Roman" w:cs="Times New Roman" w:eastAsia="Times New Roman" w:hAnsi="Times New Roman"/>
          <w:sz w:val="18"/>
          <w:szCs w:val="18"/>
          <w:color w:val="auto"/>
        </w:rPr>
        <w:t>Less: Net income/(loss) attributable to non-controlling interests Net income/(loss) attributable to shareholders of the Company -from continuing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discontinued operations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Ordinary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(830)</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936</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3,096</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427"/>
        </w:trPr>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(138,043)</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(228,120)</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(32,621)</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(463,525)</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(434,490)</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(62,131)</w:t>
            </w:r>
          </w:p>
        </w:tc>
      </w:tr>
      <w:tr>
        <w:trPr>
          <w:trHeight w:val="241"/>
        </w:trPr>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6,485</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51,444</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0"/>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-770890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-496570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-205105</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4580" w:space="720"/>
            <w:col w:w="5940"/>
          </w:cols>
          <w:pgMar w:left="320" w:top="1440" w:right="339" w:bottom="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(132,388)</w:t>
            </w: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(227,184)</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(32,487)</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(408,985)</w:t>
            </w: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(435,813)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(62,320)</w:t>
            </w:r>
          </w:p>
        </w:tc>
      </w:tr>
      <w:tr>
        <w:trPr>
          <w:trHeight w:val="216"/>
        </w:trPr>
        <w:tc>
          <w:tcPr>
            <w:tcW w:w="5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5,851</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837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5,851</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837</w:t>
            </w:r>
          </w:p>
        </w:tc>
      </w:tr>
      <w:tr>
        <w:trPr>
          <w:trHeight w:val="23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convertible notes due to instrument-specific</w:t>
            </w: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(1,282)</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4,544</w:t>
            </w:r>
          </w:p>
        </w:tc>
        <w:tc>
          <w:tcPr>
            <w:tcW w:w="9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650</w:t>
            </w: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(1,495)</w:t>
            </w: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2,005</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r>
      <w:tr>
        <w:trPr>
          <w:trHeight w:val="99"/>
        </w:trPr>
        <w:tc>
          <w:tcPr>
            <w:tcW w:w="5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1440" w:right="339" w:bottom="0" w:gutter="0" w:footer="0" w:header="0"/>
          <w:type w:val="continuous"/>
        </w:sectPr>
      </w:pPr>
    </w:p>
    <w:bookmarkStart w:id="14" w:name="page15"/>
    <w:bookmarkEnd w:id="14"/>
    <w:p>
      <w:pPr>
        <w:ind w:left="180"/>
        <w:spacing w:after="0"/>
        <w:rPr>
          <w:sz w:val="20"/>
          <w:szCs w:val="20"/>
          <w:color w:val="auto"/>
        </w:rPr>
      </w:pPr>
      <w:r>
        <w:rPr>
          <w:rFonts w:ascii="Times New Roman" w:cs="Times New Roman" w:eastAsia="Times New Roman" w:hAnsi="Times New Roman"/>
          <w:sz w:val="18"/>
          <w:szCs w:val="18"/>
          <w:color w:val="auto"/>
        </w:rPr>
        <w:t>credit risk, net of nil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income taxes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comprehensive loss</w:t>
      </w:r>
    </w:p>
    <w:p>
      <w:pPr>
        <w:spacing w:after="0" w:line="225" w:lineRule="exact"/>
        <w:rPr>
          <w:sz w:val="20"/>
          <w:szCs w:val="20"/>
          <w:color w:val="auto"/>
        </w:rPr>
      </w:pPr>
    </w:p>
    <w:p>
      <w:pPr>
        <w:ind w:left="180" w:right="200" w:hanging="161"/>
        <w:spacing w:after="0" w:line="263" w:lineRule="auto"/>
        <w:rPr>
          <w:sz w:val="20"/>
          <w:szCs w:val="20"/>
          <w:color w:val="auto"/>
        </w:rPr>
      </w:pPr>
      <w:r>
        <w:rPr>
          <w:rFonts w:ascii="Times New Roman" w:cs="Times New Roman" w:eastAsia="Times New Roman" w:hAnsi="Times New Roman"/>
          <w:sz w:val="18"/>
          <w:szCs w:val="18"/>
          <w:color w:val="auto"/>
        </w:rPr>
        <w:t>Less: Comprehensive income/(loss) attributable to non-controlling interests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shareholders of the Company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(16,577)</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11,771</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1,683</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(10,812)</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21,354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gridSpan w:val="2"/>
          </w:tcPr>
          <w:p>
            <w:pPr>
              <w:spacing w:after="0"/>
              <w:rPr>
                <w:sz w:val="2"/>
                <w:szCs w:val="2"/>
                <w:color w:val="auto"/>
              </w:rPr>
            </w:pPr>
          </w:p>
        </w:tc>
      </w:tr>
      <w:tr>
        <w:trPr>
          <w:trHeight w:val="432"/>
        </w:trPr>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(150,247)</w:t>
            </w: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(205,018)</w:t>
            </w: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(29,317)</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(421,292)</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(406,603)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(58,143)</w:t>
            </w:r>
          </w:p>
        </w:tc>
      </w:tr>
      <w:tr>
        <w:trPr>
          <w:trHeight w:val="668"/>
        </w:trPr>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(830)</w:t>
            </w: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936</w:t>
            </w: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w:t>
            </w:r>
          </w:p>
        </w:tc>
        <w:tc>
          <w:tcPr>
            <w:tcW w:w="10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3,096</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(1,323)</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(149,417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(205,954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(29,451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(424,388</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(405,280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(57,954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-1165225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-873760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-591185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-162560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00" w:space="300"/>
            <w:col w:w="5900"/>
          </w:cols>
          <w:pgMar w:left="320" w:top="121" w:right="379" w:bottom="1440" w:gutter="0" w:footer="0" w:header="0"/>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5" w:name="page16"/>
    <w:bookmarkEnd w:id="15"/>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p>
      <w:pPr>
        <w:jc w:val="center"/>
        <w:ind w:left="340" w:right="2340"/>
        <w:spacing w:after="0" w:line="268" w:lineRule="auto"/>
        <w:rPr>
          <w:sz w:val="20"/>
          <w:szCs w:val="20"/>
          <w:color w:val="auto"/>
        </w:rPr>
      </w:pPr>
      <w:r>
        <w:rPr>
          <w:rFonts w:ascii="Times New Roman" w:cs="Times New Roman" w:eastAsia="Times New Roman" w:hAnsi="Times New Roman"/>
          <w:sz w:val="18"/>
          <w:szCs w:val="18"/>
          <w:b w:val="1"/>
          <w:bCs w:val="1"/>
          <w:color w:val="auto"/>
        </w:rPr>
        <w:t>TH INTERNATIONAL LIMITED AND SUBSIDIARIES UNAUDITED CONDENSED CONSOLIDATED STATEMENTS OF CASH FLOWS (Amounts in thousands of RMB and 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10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120" w:type="dxa"/>
            <w:vAlign w:val="bottom"/>
            <w:gridSpan w:val="5"/>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3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tcPr>
          <w:p>
            <w:pPr>
              <w:spacing w:after="0"/>
              <w:rPr>
                <w:sz w:val="20"/>
                <w:szCs w:val="20"/>
                <w:color w:val="auto"/>
              </w:rPr>
            </w:pPr>
          </w:p>
        </w:tc>
        <w:tc>
          <w:tcPr>
            <w:tcW w:w="8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RMB</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top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20"/>
                <w:szCs w:val="20"/>
                <w:color w:val="auto"/>
              </w:rPr>
            </w:pPr>
          </w:p>
        </w:tc>
        <w:tc>
          <w:tcPr>
            <w:tcW w:w="8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20"/>
                <w:szCs w:val="20"/>
                <w:color w:val="auto"/>
              </w:rPr>
            </w:pPr>
          </w:p>
        </w:tc>
        <w:tc>
          <w:tcPr>
            <w:tcW w:w="1140" w:type="dxa"/>
            <w:vAlign w:val="bottom"/>
            <w:tcBorders>
              <w:top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13,222</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4,142</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(62,833)</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(8,985)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9,800</w:t>
            </w:r>
          </w:p>
        </w:tc>
        <w:tc>
          <w:tcPr>
            <w:tcW w:w="12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(25,085)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(3,587)</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26,004</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21,702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(3,890)</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925</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(688)</w:t>
            </w:r>
          </w:p>
        </w:tc>
        <w:tc>
          <w:tcPr>
            <w:tcW w:w="16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at beginning of the</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22,784</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203,587</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184,237</w:t>
            </w:r>
          </w:p>
        </w:tc>
        <w:tc>
          <w:tcPr>
            <w:tcW w:w="16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26,346</w:t>
            </w:r>
          </w:p>
        </w:tc>
        <w:tc>
          <w:tcPr>
            <w:tcW w:w="0" w:type="dxa"/>
            <w:vAlign w:val="bottom"/>
          </w:tcPr>
          <w:p>
            <w:pPr>
              <w:spacing w:after="0"/>
              <w:rPr>
                <w:sz w:val="1"/>
                <w:szCs w:val="1"/>
                <w:color w:val="auto"/>
              </w:rPr>
            </w:pPr>
          </w:p>
        </w:tc>
      </w:tr>
      <w:tr>
        <w:trPr>
          <w:trHeight w:val="27"/>
        </w:trPr>
        <w:tc>
          <w:tcPr>
            <w:tcW w:w="5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period</w:t>
            </w: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vMerge w:val="continue"/>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184,237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129,711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18,548</w:t>
            </w:r>
          </w:p>
        </w:tc>
        <w:tc>
          <w:tcPr>
            <w:tcW w:w="220" w:type="dxa"/>
            <w:vAlign w:val="bottom"/>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184,237</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129,711</w:t>
            </w: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18,548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 INTERNATIONAL LIMITED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 TO THE MOST DIRECTLY COMPARABLE 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of RMB and US$, except for number of shares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Company owned and operated store contribution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00" w:type="dxa"/>
            <w:vAlign w:val="bottom"/>
          </w:tcPr>
          <w:p>
            <w:pPr>
              <w:spacing w:after="0"/>
              <w:rPr>
                <w:sz w:val="21"/>
                <w:szCs w:val="21"/>
                <w:color w:val="auto"/>
              </w:rPr>
            </w:pPr>
          </w:p>
        </w:tc>
        <w:tc>
          <w:tcPr>
            <w:tcW w:w="4680" w:type="dxa"/>
            <w:vAlign w:val="bottom"/>
            <w:gridSpan w:val="11"/>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6"/>
        </w:trPr>
        <w:tc>
          <w:tcPr>
            <w:tcW w:w="1700" w:type="dxa"/>
            <w:vAlign w:val="bottom"/>
          </w:tcPr>
          <w:p>
            <w:pPr>
              <w:spacing w:after="0"/>
              <w:rPr>
                <w:sz w:val="20"/>
                <w:szCs w:val="20"/>
                <w:color w:val="auto"/>
              </w:rPr>
            </w:pPr>
          </w:p>
        </w:tc>
        <w:tc>
          <w:tcPr>
            <w:tcW w:w="1640" w:type="dxa"/>
            <w:vAlign w:val="bottom"/>
            <w:tcBorders>
              <w:top w:val="single" w:sz="8" w:color="auto"/>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Borders>
              <w:top w:val="single" w:sz="8" w:color="auto"/>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4"/>
        </w:trPr>
        <w:tc>
          <w:tcPr>
            <w:tcW w:w="1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Revenues</w:t>
            </w: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company</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company</w:t>
            </w: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w:t>
            </w: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and</w:t>
            </w:r>
          </w:p>
        </w:tc>
      </w:tr>
      <w:tr>
        <w:trPr>
          <w:trHeight w:val="216"/>
        </w:trPr>
        <w:tc>
          <w:tcPr>
            <w:tcW w:w="1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operated</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operated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operated</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operated</w:t>
            </w:r>
          </w:p>
        </w:tc>
      </w:tr>
      <w:tr>
        <w:trPr>
          <w:trHeight w:val="245"/>
        </w:trPr>
        <w:tc>
          <w:tcPr>
            <w:tcW w:w="170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stores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stores</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RMB</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stores</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RMB</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US$</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stores</w:t>
            </w:r>
          </w:p>
        </w:tc>
      </w:tr>
      <w:tr>
        <w:trPr>
          <w:trHeight w:val="184"/>
        </w:trPr>
        <w:tc>
          <w:tcPr>
            <w:tcW w:w="170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Revenues - company</w:t>
            </w: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owned and operated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270,152</w:t>
            </w:r>
          </w:p>
        </w:tc>
        <w:tc>
          <w:tcPr>
            <w:tcW w:w="1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248,654</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35,557</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1,188,293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1,068,169</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152,747</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Food and packaging</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 company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owned and operated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(84,797)</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(73,131)</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(10,458)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(29.4)</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(374,086)</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(321,948)</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(46,038)</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Rental expenses -</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owned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operated stores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(56,854)</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(52,633)</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(7,526)</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(241,425)</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(220,885)</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(31,586)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Payroll and employee</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benefits - company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owned and operated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(50,563)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(7,230)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(231,542)</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(199,342)</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(28,506)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(18.7)</w:t>
            </w: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Delivery costs -</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owned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operated stores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(28,584)</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(33,027)</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(4,723)</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(119,171)</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(130,649)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(18,682)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operating</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 company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owned and operated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(22,745)</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(21,733)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(3,108)</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(95,036)</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(84,317)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(12,057)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r>
      <w:tr>
        <w:trPr>
          <w:trHeight w:val="198"/>
        </w:trPr>
        <w:tc>
          <w:tcPr>
            <w:tcW w:w="1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Store depreciation and</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(36,074)</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(26,213)</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(3,748)</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(129,614)</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(107,930)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(15,434)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Franchise and royalty</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 company</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owned and operated</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5"/>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stores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(9,319)</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(8,403)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(1,202)</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(39,420)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(35,748)</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(5,112)</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r>
      <w:tr>
        <w:trPr>
          <w:trHeight w:val="180"/>
        </w:trPr>
        <w:tc>
          <w:tcPr>
            <w:tcW w:w="170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Fully-burdened</w:t>
            </w: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(loss) profit -</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company owned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and operated</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8"/>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stores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(23,101)</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(8.6)</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(17,049)</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(2,438)</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(6.9)</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(42,001)</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(32,650)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(4,668)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Store depreciation and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5"/>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36,074</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13.4</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26,213</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3,748</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129,614</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107,930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15,434</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7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4"/>
        </w:trPr>
        <w:tc>
          <w:tcPr>
            <w:tcW w:w="17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Company owned and</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operated store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12,973</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4.8</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9,164</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1,310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87,613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75,280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10,766</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194"/>
        </w:trPr>
        <w:tc>
          <w:tcPr>
            <w:tcW w:w="1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Company owned and</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operated store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contribution</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8"/>
        </w:trPr>
        <w:tc>
          <w:tcPr>
            <w:tcW w:w="1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655"/>
        </w:trPr>
        <w:tc>
          <w:tcPr>
            <w:tcW w:w="17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7" w:name="page18"/>
    <w:bookmarkEnd w:id="17"/>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 Adjusted general and administrative expenses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860" w:type="dxa"/>
            <w:vAlign w:val="bottom"/>
          </w:tcPr>
          <w:p>
            <w:pPr>
              <w:spacing w:after="0"/>
              <w:rPr>
                <w:sz w:val="24"/>
                <w:szCs w:val="24"/>
                <w:color w:val="auto"/>
              </w:rPr>
            </w:pPr>
          </w:p>
        </w:tc>
        <w:tc>
          <w:tcPr>
            <w:tcW w:w="4220" w:type="dxa"/>
            <w:vAlign w:val="bottom"/>
            <w:gridSpan w:val="11"/>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720" w:type="dxa"/>
            <w:vAlign w:val="bottom"/>
          </w:tcPr>
          <w:p>
            <w:pPr>
              <w:spacing w:after="0"/>
              <w:rPr>
                <w:sz w:val="24"/>
                <w:szCs w:val="24"/>
                <w:color w:val="auto"/>
              </w:rPr>
            </w:pPr>
          </w:p>
        </w:tc>
        <w:tc>
          <w:tcPr>
            <w:tcW w:w="26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RMB</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184"/>
        </w:trPr>
        <w:tc>
          <w:tcPr>
            <w:tcW w:w="28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(76,321)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(63,034)</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(9,014)</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(210,323)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(204,341)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(29,222)</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2,827</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Professional fees related to financing</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15,232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2,178</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10,464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2,322</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rental deposits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67"/>
        </w:trPr>
        <w:tc>
          <w:tcPr>
            <w:tcW w:w="286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Adjusted General and</w:t>
            </w: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administrative expenses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(77,062)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(48,601)</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(6,951)</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(196,883)</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(177,660)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(25,407)</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432"/>
        </w:trPr>
        <w:tc>
          <w:tcPr>
            <w:tcW w:w="62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C. Adjusted corporate EBITDA and adjusted corporate EBITDA margin</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860" w:type="dxa"/>
            <w:vAlign w:val="bottom"/>
          </w:tcPr>
          <w:p>
            <w:pPr>
              <w:spacing w:after="0"/>
              <w:rPr>
                <w:sz w:val="24"/>
                <w:szCs w:val="24"/>
                <w:color w:val="auto"/>
              </w:rPr>
            </w:pPr>
          </w:p>
        </w:tc>
        <w:tc>
          <w:tcPr>
            <w:tcW w:w="4220" w:type="dxa"/>
            <w:vAlign w:val="bottom"/>
            <w:gridSpan w:val="11"/>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December 31,</w:t>
            </w:r>
          </w:p>
        </w:tc>
        <w:tc>
          <w:tcPr>
            <w:tcW w:w="720" w:type="dxa"/>
            <w:vAlign w:val="bottom"/>
          </w:tcPr>
          <w:p>
            <w:pPr>
              <w:spacing w:after="0"/>
              <w:rPr>
                <w:sz w:val="24"/>
                <w:szCs w:val="24"/>
                <w:color w:val="auto"/>
              </w:rPr>
            </w:pPr>
          </w:p>
        </w:tc>
        <w:tc>
          <w:tcPr>
            <w:tcW w:w="26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45"/>
        </w:trPr>
        <w:tc>
          <w:tcPr>
            <w:tcW w:w="286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RMB</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184"/>
        </w:trPr>
        <w:tc>
          <w:tcPr>
            <w:tcW w:w="2860" w:type="dxa"/>
            <w:vAlign w:val="bottom"/>
            <w:tcBorders>
              <w:top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Operating loss from continuing</w:t>
            </w: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(117,187)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(118,617)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(16,962)</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(349,081)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(317,353)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(45,381)</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44,243</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36,341</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5,197</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146,412</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20,937</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rental deposits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One-off expense of store closure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11,090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Professional fees related to financing</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15,232</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2,178</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16,239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2,322</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15,901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31,232</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4,466</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56,287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60,320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8,626</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disposal of property and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Corporate EBITDA</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4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86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(49,444)</w:t>
            </w:r>
          </w:p>
        </w:tc>
        <w:tc>
          <w:tcPr>
            <w:tcW w:w="120" w:type="dxa"/>
            <w:vAlign w:val="bottom"/>
            <w:vMerge w:val="continue"/>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(35,396)</w:t>
            </w: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c>
          <w:tcPr>
            <w:tcW w:w="10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(96,396)</w:t>
            </w:r>
          </w:p>
        </w:tc>
        <w:tc>
          <w:tcPr>
            <w:tcW w:w="120" w:type="dxa"/>
            <w:vAlign w:val="bottom"/>
            <w:vMerge w:val="continue"/>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(77,468)</w:t>
            </w:r>
          </w:p>
        </w:tc>
        <w:tc>
          <w:tcPr>
            <w:tcW w:w="1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(11,077)</w:t>
            </w:r>
          </w:p>
        </w:tc>
        <w:tc>
          <w:tcPr>
            <w:tcW w:w="1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0" w:type="dxa"/>
            <w:vAlign w:val="bottom"/>
          </w:tcPr>
          <w:p>
            <w:pPr>
              <w:spacing w:after="0"/>
              <w:rPr>
                <w:sz w:val="1"/>
                <w:szCs w:val="1"/>
                <w:color w:val="auto"/>
              </w:rPr>
            </w:pPr>
          </w:p>
        </w:tc>
      </w:tr>
      <w:tr>
        <w:trPr>
          <w:trHeight w:val="633"/>
        </w:trPr>
        <w:tc>
          <w:tcPr>
            <w:tcW w:w="2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8" w:name="page19"/>
    <w:bookmarkEnd w:id="18"/>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600075" cy="634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0075" cy="6343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 Adjusted net loss and adjusted net loss margin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860" w:type="dxa"/>
            <w:vAlign w:val="bottom"/>
          </w:tcPr>
          <w:p>
            <w:pPr>
              <w:spacing w:after="0"/>
              <w:rPr>
                <w:sz w:val="24"/>
                <w:szCs w:val="24"/>
                <w:color w:val="auto"/>
              </w:rPr>
            </w:pPr>
          </w:p>
        </w:tc>
        <w:tc>
          <w:tcPr>
            <w:tcW w:w="4220" w:type="dxa"/>
            <w:vAlign w:val="bottom"/>
            <w:gridSpan w:val="10"/>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w:t>
            </w:r>
          </w:p>
        </w:tc>
        <w:tc>
          <w:tcPr>
            <w:tcW w:w="720" w:type="dxa"/>
            <w:vAlign w:val="bottom"/>
          </w:tcPr>
          <w:p>
            <w:pPr>
              <w:spacing w:after="0"/>
              <w:rPr>
                <w:sz w:val="24"/>
                <w:szCs w:val="24"/>
                <w:color w:val="auto"/>
              </w:rPr>
            </w:pPr>
          </w:p>
        </w:tc>
        <w:tc>
          <w:tcPr>
            <w:tcW w:w="264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58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8"/>
        </w:trPr>
        <w:tc>
          <w:tcPr>
            <w:tcW w:w="286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20"/>
                <w:szCs w:val="20"/>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0" w:type="dxa"/>
            <w:vAlign w:val="bottom"/>
          </w:tcPr>
          <w:p>
            <w:pPr>
              <w:spacing w:after="0"/>
              <w:rPr>
                <w:sz w:val="1"/>
                <w:szCs w:val="1"/>
                <w:color w:val="auto"/>
              </w:rPr>
            </w:pPr>
          </w:p>
        </w:tc>
      </w:tr>
      <w:tr>
        <w:trPr>
          <w:trHeight w:val="27"/>
        </w:trPr>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CCEEFF"/>
            </w:tcBorders>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(138,873)</w:t>
            </w: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(227,184)</w:t>
            </w:r>
          </w:p>
        </w:tc>
        <w:tc>
          <w:tcPr>
            <w:tcW w:w="1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(32,487)</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(460,429)</w:t>
            </w:r>
          </w:p>
        </w:tc>
        <w:tc>
          <w:tcPr>
            <w:tcW w:w="1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(435,813)</w:t>
            </w: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(62,320)</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2,829</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Professional fees related to financing</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15,232</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10,464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16,239</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2,322</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15,901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31,232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56,287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60,320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of rental deposits</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7,615</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One-off expense of store closure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7,909</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11,090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disposal of property and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1,213</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4,147</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6,470</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Loss of the debt extinguishment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73,078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10,450</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10,657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73,078</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Deferred</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Changes in fair value of convertible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17,413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31,493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65,874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30,627</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Borders>
              <w:right w:val="single" w:sz="8" w:color="CCEEFF"/>
            </w:tcBorders>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vMerge w:val="restart"/>
            <w:shd w:val="clear" w:color="auto" w:fill="CCEEFF"/>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(97,960)</w:t>
            </w:r>
          </w:p>
        </w:tc>
        <w:tc>
          <w:tcPr>
            <w:tcW w:w="12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(75,733)</w:t>
            </w:r>
          </w:p>
        </w:tc>
        <w:tc>
          <w:tcPr>
            <w:tcW w:w="12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(10,831)</w:t>
            </w:r>
          </w:p>
        </w:tc>
        <w:tc>
          <w:tcPr>
            <w:tcW w:w="140" w:type="dxa"/>
            <w:vAlign w:val="bottom"/>
            <w:tcBorders>
              <w:right w:val="single" w:sz="8" w:color="CCEEFF"/>
            </w:tcBorders>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(281,993)</w:t>
            </w:r>
          </w:p>
        </w:tc>
        <w:tc>
          <w:tcPr>
            <w:tcW w:w="1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(238,635)</w:t>
            </w:r>
          </w:p>
        </w:tc>
        <w:tc>
          <w:tcPr>
            <w:tcW w:w="12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(34,123)</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655"/>
        </w:trPr>
        <w:tc>
          <w:tcPr>
            <w:tcW w:w="28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 Adjusted basic and diluted net loss per Ordinary Share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40" w:type="dxa"/>
            <w:vAlign w:val="bottom"/>
          </w:tcPr>
          <w:p>
            <w:pPr>
              <w:spacing w:after="0"/>
              <w:rPr>
                <w:sz w:val="20"/>
                <w:szCs w:val="20"/>
                <w:color w:val="auto"/>
              </w:rPr>
            </w:pPr>
          </w:p>
        </w:tc>
        <w:tc>
          <w:tcPr>
            <w:tcW w:w="4740" w:type="dxa"/>
            <w:vAlign w:val="bottom"/>
            <w:gridSpan w:val="11"/>
          </w:tcPr>
          <w:p>
            <w:pPr>
              <w:jc w:val="right"/>
              <w:ind w:right="900"/>
              <w:spacing w:after="0"/>
              <w:rPr>
                <w:sz w:val="20"/>
                <w:szCs w:val="20"/>
                <w:color w:val="auto"/>
              </w:rPr>
            </w:pPr>
            <w:r>
              <w:rPr>
                <w:rFonts w:ascii="Times New Roman" w:cs="Times New Roman" w:eastAsia="Times New Roman" w:hAnsi="Times New Roman"/>
                <w:sz w:val="17"/>
                <w:szCs w:val="17"/>
                <w:b w:val="1"/>
                <w:bCs w:val="1"/>
                <w:color w:val="auto"/>
              </w:rPr>
              <w:t>For the three months ended December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6"/>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For the year ended December 31,</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840" w:type="dxa"/>
            <w:vAlign w:val="bottom"/>
          </w:tcPr>
          <w:p>
            <w:pPr>
              <w:spacing w:after="0"/>
              <w:rPr>
                <w:sz w:val="19"/>
                <w:szCs w:val="19"/>
                <w:color w:val="auto"/>
              </w:rPr>
            </w:pPr>
          </w:p>
        </w:tc>
        <w:tc>
          <w:tcPr>
            <w:tcW w:w="1780" w:type="dxa"/>
            <w:vAlign w:val="bottom"/>
            <w:tcBorders>
              <w:top w:val="single" w:sz="8" w:color="auto"/>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1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Unadjusted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Unadjusted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Unadjusted</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Unadjusted</w:t>
            </w:r>
          </w:p>
        </w:tc>
        <w:tc>
          <w:tcPr>
            <w:tcW w:w="60" w:type="dxa"/>
            <w:vAlign w:val="bottom"/>
          </w:tcPr>
          <w:p>
            <w:pPr>
              <w:spacing w:after="0"/>
              <w:rPr>
                <w:sz w:val="15"/>
                <w:szCs w:val="15"/>
                <w:color w:val="auto"/>
              </w:rPr>
            </w:pPr>
          </w:p>
        </w:tc>
      </w:tr>
      <w:tr>
        <w:trPr>
          <w:trHeight w:val="203"/>
        </w:trPr>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and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and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and</w:t>
            </w:r>
          </w:p>
        </w:tc>
      </w:tr>
      <w:tr>
        <w:trPr>
          <w:trHeight w:val="203"/>
        </w:trPr>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Adjusted</w:t>
            </w:r>
          </w:p>
        </w:tc>
      </w:tr>
      <w:tr>
        <w:trPr>
          <w:trHeight w:val="203"/>
        </w:trPr>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Basic and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Basic and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Basic and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Basic and</w:t>
            </w:r>
          </w:p>
        </w:tc>
      </w:tr>
      <w:tr>
        <w:trPr>
          <w:trHeight w:val="203"/>
        </w:trPr>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diluted loss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diluted loss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diluted loss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diluted loss</w:t>
            </w:r>
          </w:p>
        </w:tc>
      </w:tr>
      <w:tr>
        <w:trPr>
          <w:trHeight w:val="203"/>
        </w:trPr>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per</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per</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per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per</w:t>
            </w:r>
          </w:p>
        </w:tc>
      </w:tr>
      <w:tr>
        <w:trPr>
          <w:trHeight w:val="203"/>
        </w:trPr>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Ordinary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Ordinary</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Ordinary</w:t>
            </w:r>
          </w:p>
        </w:tc>
      </w:tr>
      <w:tr>
        <w:trPr>
          <w:trHeight w:val="235"/>
        </w:trPr>
        <w:tc>
          <w:tcPr>
            <w:tcW w:w="18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RMB</w:t>
            </w:r>
          </w:p>
        </w:tc>
        <w:tc>
          <w:tcPr>
            <w:tcW w:w="40" w:type="dxa"/>
            <w:vAlign w:val="bottom"/>
          </w:tcPr>
          <w:p>
            <w:pPr>
              <w:spacing w:after="0"/>
              <w:rPr>
                <w:sz w:val="20"/>
                <w:szCs w:val="20"/>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RMB</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US$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RMB</w:t>
            </w:r>
          </w:p>
        </w:tc>
        <w:tc>
          <w:tcPr>
            <w:tcW w:w="20" w:type="dxa"/>
            <w:vAlign w:val="bottom"/>
          </w:tcPr>
          <w:p>
            <w:pPr>
              <w:spacing w:after="0"/>
              <w:rPr>
                <w:sz w:val="20"/>
                <w:szCs w:val="20"/>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RMB</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US$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Share</w:t>
            </w:r>
          </w:p>
        </w:tc>
      </w:tr>
      <w:tr>
        <w:trPr>
          <w:trHeight w:val="167"/>
        </w:trPr>
        <w:tc>
          <w:tcPr>
            <w:tcW w:w="184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Net income/(loss)</w:t>
            </w: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attributable to</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shareholders of the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Company</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(131,558)</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(228,120)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(32,621)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(412,081)</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(12.70)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(434,490)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(62,131)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1"/>
        </w:trPr>
        <w:tc>
          <w:tcPr>
            <w:tcW w:w="1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Net income/(loss) from</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discontinuing</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operations to</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shareholders of the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Company</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6,485</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51,444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1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1"/>
        </w:trPr>
        <w:tc>
          <w:tcPr>
            <w:tcW w:w="1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Net loss from continuing</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operations to</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shareholders of the</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Company</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(138,043)</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(4.25)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(228,120)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(32,621)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(463,525)</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(14.29)</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(434,490)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(62,131)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Adjusted for: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1"/>
        </w:trPr>
        <w:tc>
          <w:tcPr>
            <w:tcW w:w="1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Share-based</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expenses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(741)</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(0.02)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438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519</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2,829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r>
      <w:tr>
        <w:trPr>
          <w:trHeight w:val="181"/>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Professional fees related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 financing programs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15,232</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2,178</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10,464</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0.32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16,239</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2,322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0.07</w:t>
            </w:r>
          </w:p>
        </w:tc>
      </w:tr>
      <w:tr>
        <w:trPr>
          <w:trHeight w:val="182"/>
        </w:trPr>
        <w:tc>
          <w:tcPr>
            <w:tcW w:w="1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Impairment losses of</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long-lived assets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15,901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0.49</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31,232</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4,466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56,287</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1.73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60,320</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8,626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0.27</w:t>
            </w:r>
          </w:p>
        </w:tc>
      </w:tr>
      <w:tr>
        <w:trPr>
          <w:trHeight w:val="181"/>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Impairment losses of</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rental deposits</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(1,235)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(177)</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2,457</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0.08</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7,615</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1,089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0.03</w:t>
            </w:r>
          </w:p>
        </w:tc>
      </w:tr>
      <w:tr>
        <w:trPr>
          <w:trHeight w:val="182"/>
        </w:trPr>
        <w:tc>
          <w:tcPr>
            <w:tcW w:w="1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One-off expense of store</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closure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7,909</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11,090</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0.34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81"/>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Loss on disposal of</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equipment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431</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0.01</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1,213</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4,147</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0.13</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6,470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925</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0.03</w:t>
            </w:r>
          </w:p>
        </w:tc>
      </w:tr>
      <w:tr>
        <w:trPr>
          <w:trHeight w:val="182"/>
        </w:trPr>
        <w:tc>
          <w:tcPr>
            <w:tcW w:w="1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Loss of the debt</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extinguishment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73,078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10,450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0.32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10,657</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0.33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73,078</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10,450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0.32</w:t>
            </w:r>
          </w:p>
        </w:tc>
      </w:tr>
      <w:tr>
        <w:trPr>
          <w:trHeight w:val="181"/>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Changes in fair value of</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Contingent</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consideration</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16,941</w:t>
            </w: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0.52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182"/>
        </w:trPr>
        <w:tc>
          <w:tcPr>
            <w:tcW w:w="1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Changes in fair value of</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57"/>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notes</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17,413</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0.54</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31,493</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4,503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65,874</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30,627</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4,380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0.13</w:t>
            </w:r>
          </w:p>
        </w:tc>
      </w:tr>
      <w:tr>
        <w:trPr>
          <w:trHeight w:val="151"/>
        </w:trPr>
        <w:tc>
          <w:tcPr>
            <w:tcW w:w="1840" w:type="dxa"/>
            <w:vAlign w:val="bottom"/>
            <w:tcBorders>
              <w:top w:val="single" w:sz="8" w:color="CCEEFF"/>
            </w:tcBorders>
          </w:tcPr>
          <w:p>
            <w:pPr>
              <w:spacing w:after="0" w:line="151" w:lineRule="exact"/>
              <w:rPr>
                <w:sz w:val="20"/>
                <w:szCs w:val="20"/>
                <w:color w:val="auto"/>
              </w:rPr>
            </w:pPr>
            <w:r>
              <w:rPr>
                <w:rFonts w:ascii="Times New Roman" w:cs="Times New Roman" w:eastAsia="Times New Roman" w:hAnsi="Times New Roman"/>
                <w:sz w:val="17"/>
                <w:szCs w:val="17"/>
                <w:b w:val="1"/>
                <w:bCs w:val="1"/>
                <w:color w:val="auto"/>
              </w:rPr>
              <w:t>Adjusted Net loss</w:t>
            </w: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20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attributable to</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shareholders of the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7"/>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Company</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(97,130)</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(2.99)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(76,669)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(10,965)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(0.34)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(285,089)</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(8.79)</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(237,312)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(33,934)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(1.04)</w:t>
            </w:r>
          </w:p>
        </w:tc>
      </w:tr>
      <w:tr>
        <w:trPr>
          <w:trHeight w:val="182"/>
        </w:trPr>
        <w:tc>
          <w:tcPr>
            <w:tcW w:w="18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Weighted average shares</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outstanding used in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calculating basic and</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4"/>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 loss per share</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32,494,265</w:t>
            </w:r>
          </w:p>
        </w:tc>
        <w:tc>
          <w:tcPr>
            <w:tcW w:w="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32,519,377</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32,519,377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32,444,772</w:t>
            </w:r>
          </w:p>
        </w:tc>
        <w:tc>
          <w:tcPr>
            <w:tcW w:w="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32,519,377</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32,519,377</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N/A</w:t>
            </w:r>
          </w:p>
        </w:tc>
      </w:tr>
      <w:tr>
        <w:trPr>
          <w:trHeight w:val="177"/>
        </w:trPr>
        <w:tc>
          <w:tcPr>
            <w:tcW w:w="1840" w:type="dxa"/>
            <w:vAlign w:val="bottom"/>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Adjusted basic and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diluted net loss per</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6"/>
        </w:trPr>
        <w:tc>
          <w:tcPr>
            <w:tcW w:w="18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Ordinary Share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(2.99)</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(2.36)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(0.34)</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(8.79)</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(7.30)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(1.04)</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80"/>
      </w:cols>
      <w:pgMar w:left="320" w:top="33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2026-04-15T06:03:37Z</dcterms:created>
  <dcterms:modified xsi:type="dcterms:W3CDTF">2026-04-15T06:03:37Z</dcterms:modified>
</cp:coreProperties>
</file>