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357-6k_thinter.htm"/>
      <w:bookmarkStart w:id="1" w:name="ksea03023576k_thint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001-41516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2501 Central Plaza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 Huangpi North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200003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+86-021-6136-6616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28" w:type="dxa"/>
          <w:right w:w="0" w:type="dxa"/>
        </w:tblCellMar>
      </w:tblPr>
      <w:tblGrid>
        <w:gridCol w:w="725"/>
        <w:gridCol w:w="60"/>
        <w:gridCol w:w="143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b/>
                <w:sz w:val="20"/>
              </w:rPr>
            </w:pPr>
            <w:r>
              <w:rPr>
                <w:b/>
                <w:sz w:val="20"/>
              </w:rPr>
              <w:t>Exhibit Title</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left"/>
              <w:rPr/>
            </w:pPr>
            <w:hyperlink w:anchor="ea030235701ex99-1.htm">
              <w:r>
                <w:rPr>
                  <w:rStyle w:val="InternetLink"/>
                  <w:sz w:val="20"/>
                </w:rPr>
                <w:t>Earnings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b/>
                <w:sz w:val="20"/>
              </w:rPr>
            </w:pPr>
            <w:r>
              <w:rPr>
                <w:b/>
                <w:sz w:val="20"/>
              </w:rPr>
              <w:t>TH International Limited</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30235701ex99-1.htm"/>
      <w:bookmarkStart w:id="3" w:name="ksea030235701ex991"/>
      <w:bookmarkEnd w:id="2"/>
      <w:bookmarkEnd w:id="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6667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 cy="70485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Tims China Announces Second Quarter 2026 Financial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and NEW YORK, August 18, 2026 (GLOBE NEWSWIRE) -- TH International Limited (Nasdaq: THCH), the parent company of the exclusive master franchisees of Tim Hortons coffee shops in China (“Tims China” or the “Company”) today announced its unaudited financial results for the second quarter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Total revenues</w:t>
            </w:r>
            <w:r>
              <w:rPr/>
              <w:t> of RMB273.4 million (USD40.3 million), representing a 21.7% decrease from the same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System sales</w:t>
            </w:r>
            <w:r>
              <w:rPr>
                <w:position w:val="8"/>
                <w:sz w:val="19"/>
              </w:rPr>
              <w:t>1</w:t>
            </w:r>
            <w:r>
              <w:rPr/>
              <w:t xml:space="preserve"> of RMB347.8 million (USD51.3 million), representing a 15.1% decrease from the same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 xml:space="preserve">Net new store openings </w:t>
            </w:r>
            <w:r>
              <w:rPr>
                <w:b w:val="false"/>
              </w:rPr>
              <w:t>totaled two (a net opening of 15 made-to-order (“MTO”) stores and a net closure of 13 non-MTO stores).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rPr>
              <w:t>Company owned and operated store contribution</w:t>
            </w:r>
            <w:r>
              <w:rPr>
                <w:position w:val="8"/>
                <w:sz w:val="19"/>
              </w:rPr>
              <w:t>2</w:t>
            </w:r>
            <w:r>
              <w:rPr/>
              <w:t xml:space="preserve">, previously reported as adjusted store EBITDA, </w:t>
            </w:r>
            <w:r>
              <w:rPr>
                <w:b w:val="false"/>
              </w:rPr>
              <w:t>was RMB12.6 million (USD1.9 million), compared to RMB27.2 million in the same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Company owned and operated store contribution margin</w:t>
            </w:r>
            <w:r>
              <w:rPr>
                <w:position w:val="8"/>
                <w:sz w:val="19"/>
              </w:rPr>
              <w:t>3</w:t>
            </w:r>
            <w:r>
              <w:rPr/>
              <w:t>, previously reported as adjusted store EBITDA margin, was 5.7%, compared to 9.6% in the same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Registered loyalty club members</w:t>
            </w:r>
            <w:r>
              <w:rPr/>
              <w:t xml:space="preserve"> totaled 37.1 million as of June 30, 2026, representing a 41.7% year-over-year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MANAGEMENT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Kwok Wah (John) Cheung, CEO of Tims China, stated, “The second quarter was a period of transition for Tims China. Our top-line results were impacted by our proactive decision to close underperforming stores, as well as pressure on same-store sales as we lapped strong delivery performance from last year. It is clear that we need to make meaningful changes to our strategy to win back customers. My experience tells me that when we focus on our core identity and consistently deliver great products and a great guest experience, our customers will respond. I have full confidence in Tims China’s ability to improve the business and regain market share. We have a clear plan and are moving quickly to return the business to growth. We already see green shoots in the business when we look at our registered loyalty club membership, which reached more than 37.1 million as of June 30, 2026, up 41.7% year over year, providing a strong foundation to deepen customer engagement and support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System sales is calculated as the gross merchandise value of sales generated from both company owned and operated stores and franchised stores.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both"/>
              <w:rPr/>
            </w:pPr>
            <w:r>
              <w:rPr/>
              <w:t>Company owned and operated store contribution, is calculated as fully burdened gross profit</w:t>
            </w:r>
            <w:r>
              <w:rPr>
                <w:position w:val="7"/>
                <w:sz w:val="16"/>
                <w:sz w:val="20"/>
              </w:rPr>
              <w:t>4</w:t>
            </w:r>
            <w:r>
              <w:rPr/>
              <w:t xml:space="preserve"> of company owned and operated stores excluding depreciation &amp; amortization.</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both"/>
              <w:rPr/>
            </w:pPr>
            <w:r>
              <w:rPr/>
              <w:t>Company owned and operated store contribution margin, is calculated as company owned and operated store contribution as a percentage of revenues from company owned and operated stores.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283"/>
              <w:jc w:val="both"/>
              <w:rPr/>
            </w:pPr>
            <w:r>
              <w:rPr/>
              <w:t>Fully burdened gross profit of company owned and operated stores, the most directly comparable GAAP measure to company owned and operated store contribution, was a loss of RMB7.2 million (USD1.1 million) for the three months ended June 30, 2026, compared to a gain of RMB0.4 million in the same quarter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Dong (Albert) Li, CFO of Tims China, commented, “We successfully closed the initial tranche of US$15.8 million in additional senior secured convertible notes issued to Tim Hortons Restaurants International GmbH (“THRI”), our brand owner and founding shareholder, in July 2026. With the proceeds from this series of proposed financing, we plan to drive our innovation and product offerings, invest more in marketing activities, and deploy a more balanced store network development strategy by opening both company owned and operated stores and franchised stores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were RMB273.4 million (USD40.3 million) for the three months ended June 30, 2026, representing a decrease of 21.7% from RMB349.0 million in the same quarter of 2025. Total revenues comprise: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b/>
                <w:i/>
              </w:rPr>
              <w:t>Revenues from company owned and operated stores</w:t>
            </w:r>
            <w:r>
              <w:rPr/>
              <w:t xml:space="preserve"> </w:t>
            </w:r>
            <w:r>
              <w:rPr>
                <w:b w:val="false"/>
              </w:rPr>
              <w:t>were RMB220.9 million (USD32.6 million) for the three months ended June 30, 2026, representing a decrease of 21.6% from RMB281.9 million in the same quarter of 2025. The decrease was primarily attributable to closures of certain underperforming stores as the number of company owned and operated stores decreased from 566 as of June 30, 2025 to 544 as of June 30, 2026, and a 17.3% decline in same-store sales growth for company owned and operated stores in the second quarter of 2026. The decrease was also attributable to a 0.9% year-over-year decrease in average ticket size, and a 20.7% year-over-year decrease in the number of orders from 10.5 million in the second quarter of 2025 to 8.3 million in the same quarter of 2026.</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i/>
              </w:rPr>
              <w:t>Other revenues</w:t>
            </w:r>
            <w:r>
              <w:rPr/>
              <w:t xml:space="preserve"> </w:t>
            </w:r>
            <w:r>
              <w:rPr>
                <w:b w:val="false"/>
              </w:rPr>
              <w:t>were RMB52.5 million (USD7.7 million) for the three months ended June 30, 2026, representing a decrease of 21.7% from RMB67.1 million in the same quarter of 2025. The decrease was primarily due to lower revenues generated per franchised store as a result of a decline in same-store sales growth for franchised stores, offset by an increase in the number of our franchised stores from 449 as of June 30, 2025 to 484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owned and operated store costs and expenses</w:t>
      </w:r>
      <w:r>
        <w:rPr>
          <w:rFonts w:ascii="Times New Roman;Times;Serif" w:hAnsi="Times New Roman;Times;Serif"/>
          <w:b w:val="false"/>
          <w:i w:val="false"/>
          <w:caps w:val="false"/>
          <w:smallCaps w:val="false"/>
          <w:sz w:val="20"/>
        </w:rPr>
        <w:t xml:space="preserve"> were RMB221.1 million (USD32.6 million) for the three months ended June 30, 2026, representing a decrease of 18.8% from RMB272.4 million in the same quarter of 2025. Company owned and operated store costs and expenses comprise:</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i/>
              </w:rPr>
              <w:t>Food and packaging costs</w:t>
            </w:r>
            <w:r>
              <w:rPr/>
              <w:t xml:space="preserve"> </w:t>
            </w:r>
            <w:r>
              <w:rPr>
                <w:b w:val="false"/>
              </w:rPr>
              <w:t>were RMB62.5 million (USD9.2 million) for the three months ended June 30, 2026, representing a decrease of 26.3% from RMB84.8 million in the same quarter of 2025, which was primarily due to a decrease in revenues from company owned and operated stores. A</w:t>
            </w:r>
            <w:r>
              <w:rPr/>
              <w:t xml:space="preserve">s we continued to benefit from higher efficiencies in supply chains and cost reduction on raw materials, logistic and warehousing expenses, </w:t>
            </w:r>
            <w:r>
              <w:rPr>
                <w:b w:val="false"/>
              </w:rPr>
              <w:t>food and packaging costs as a percentage of revenues from company owned and operated stores decreased by 1.8 percentage points from 30.1% in the second quarter of 2025 to 28.3% in the same quarter of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i/>
              </w:rPr>
              <w:t>Rental and property management fees</w:t>
            </w:r>
            <w:r>
              <w:rPr/>
              <w:t xml:space="preserve"> </w:t>
            </w:r>
            <w:r>
              <w:rPr>
                <w:b w:val="false"/>
              </w:rPr>
              <w:t>were RMB47.9 million (USD7.1 million) for the three months ended June 30, 2026, representing a decrease of 15.6% from RMB56.8 million in the same quarter of 2025, which was primarily due to a decrease in the number of our company-owned and operated stores from 566 as of June 30, 2025 to 544 as of June 30, 2026. Rental and property management fees as a percentage of revenues from company owned and operated stores increased by 1.5 percentage points from 20.2% in the second quarter of 2025 to 21.7% in the same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i/>
              </w:rPr>
              <w:t>Payroll and employee benefits expenses</w:t>
            </w:r>
            <w:r>
              <w:rPr/>
              <w:t xml:space="preserve"> </w:t>
            </w:r>
            <w:r>
              <w:rPr>
                <w:b w:val="false"/>
              </w:rPr>
              <w:t>were RMB43.9 million (USD6.5 million) for the three months ended June 30, 2026, representing a decrease of 12.6% from RMB50.2 million in the same quarter of 2025, which was primarily due to a decrease in revenues from company owned and operated stores. Payroll and employee benefits expenses as a percentage of revenues from company owned and operated stores increased by 2.1 percentage points from 17.8% in the second quarter of 2025 to 19.9% in the same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i/>
              </w:rPr>
              <w:t>Delivery costs</w:t>
            </w:r>
            <w:r>
              <w:rPr/>
              <w:t xml:space="preserve"> </w:t>
            </w:r>
            <w:r>
              <w:rPr>
                <w:b w:val="false"/>
              </w:rPr>
              <w:t>were RMB28.9 million (USD4.3 million) for the three months ended June 30, 2026, representing a decrease of 13.3% from RMB33.3 million in the same quarter of 2025, which was in line with the 11.9% decrease in delivery orders from 8.2 million in the second quarter of 2025 to 7.2 million in the same quarter of 2026, and a reduction in average delivery costs per order. Delivery costs as a percentage of revenues from company owned and operated stores increased by 1.3 percentage points to 13.1% in the second quarter of 2026, compared to 11.8% in the same quarter of 2025, which was primarily due to an increase in delivery revenue as a percentage of revenues from company owned and operated stores from 61.0% in the second quarter of 2025 to 65.7% in the same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i/>
              </w:rPr>
              <w:t>Other operating expenses</w:t>
            </w:r>
            <w:r>
              <w:rPr/>
              <w:t xml:space="preserve"> </w:t>
            </w:r>
            <w:r>
              <w:rPr>
                <w:b w:val="false"/>
              </w:rPr>
              <w:t>were RMB17.4 million (USD2.6 million) for the three months ended June 30, 2026, representing a decrease of 14.7% from RMB20.4 million in the same quarter of 2025, which was primarily due to a decrease in revenues from company owned and operated stores. Other operating expenses as a percentage of revenues from company owned and operated stores increased by 0.7 percentage points to 7.9% in the second quarter of 2026, compared to 7.2% in the same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i/>
              </w:rPr>
              <w:t>Store depreciation and amortization expenses</w:t>
            </w:r>
            <w:r>
              <w:rPr/>
              <w:t xml:space="preserve"> </w:t>
            </w:r>
            <w:r>
              <w:rPr>
                <w:b w:val="false"/>
              </w:rPr>
              <w:t>were RMB20.4 million (USD3.0 million) for the three months ended June 30, 2026, representing a decrease of 23.8% from RMB26.8 million in the same quarter of 2025, which was primarily due to impairment on property and equipment in relation to company owned and operated store closures and the reduced capital expenditures per store as a result of our initiatives to improve store unit economics. Store depreciation and amortization as a percentage of revenues from company owned and operated stores decreased by 0.3 percentage points to 9.2% in the second quarter of 2026, compared to 9.5% in the same quarter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Costs of other revenues</w:t>
      </w:r>
      <w:r>
        <w:rPr>
          <w:rFonts w:ascii="Times New Roman;Times;Serif" w:hAnsi="Times New Roman;Times;Serif"/>
          <w:b w:val="false"/>
          <w:i w:val="false"/>
          <w:caps w:val="false"/>
          <w:smallCaps w:val="false"/>
          <w:sz w:val="20"/>
        </w:rPr>
        <w:t xml:space="preserve"> were RMB36.8 million (USD5.4 million) for the three months ended June 30, 2026, representing a decrease of 20.9% from RMB46.5 million in the same quarter of 2025, which was in line with the revenue trend. Costs of other revenues as a percentage of other revenues increased by 0.8 percentage points from 69.3% in the second quarter of 2025 to 70.1% in the same quarter of 2026 due to lower margin generated from franchised business during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Marketing expenses</w:t>
      </w:r>
      <w:r>
        <w:rPr>
          <w:rFonts w:ascii="Times New Roman;Times;Serif" w:hAnsi="Times New Roman;Times;Serif"/>
          <w:b w:val="false"/>
          <w:i w:val="false"/>
          <w:caps w:val="false"/>
          <w:smallCaps w:val="false"/>
          <w:sz w:val="20"/>
        </w:rPr>
        <w:t xml:space="preserve"> were RMB13.3 million (USD2.0 million) for the three months ended June 30, 2026, representing a decrease of 4.4% from RMB13.9 million in the same quarter of 2025. Marketing expenses as a percentage of total revenues increased by 0.9 percentage points from 4.0% in the second quarter of 2025 to 4.9% in the same quarter of 2026 as we spent more marketing efforts to support our franchised business during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RMB42.3 million (USD6.2 million) for the three months ended June 30, 2026, representing an increase of 12.1% from RMB37.7 million in the same quarter of 2025, which was primarily due to a RMB4.2 million (USD0.6 million) increase in professional and other service fees. As a result of the foregoing, </w:t>
      </w:r>
      <w:r>
        <w:rPr>
          <w:rFonts w:ascii="Times New Roman;Times;Serif" w:hAnsi="Times New Roman;Times;Serif"/>
          <w:b/>
          <w:i w:val="false"/>
          <w:caps w:val="false"/>
          <w:smallCaps w:val="false"/>
          <w:sz w:val="20"/>
        </w:rPr>
        <w:t>adjusted general and administrative expenses</w:t>
      </w:r>
      <w:r>
        <w:rPr>
          <w:rFonts w:ascii="Times New Roman;Times;Serif" w:hAnsi="Times New Roman;Times;Serif"/>
          <w:b w:val="false"/>
          <w:i w:val="false"/>
          <w:caps w:val="false"/>
          <w:smallCaps w:val="false"/>
          <w:sz w:val="20"/>
        </w:rPr>
        <w:t>, which excludes: (i) share-based compensation expenses of RMB0.3 million (USD0.05 million), and (ii) impairment losses of rental deposits of RMB2.3 million (USD0.3 million), were RMB39.6 million (USD5.8 million), representing an increase of 14.4% from RMB34.6 million in the same quarter of 2025. Adjusted general and administrative expenses as a percentage of total revenues increased by 4.6 percentage points from 9.9% in the second quarter of 2025 to 14.5% in the same quarter of 2026. For more information on the Company’s non-GAAP financial measures, please see “Use of Non-GAAP Financial Measures” and “Reconciliation of Non-GAAP Measures to the Most Directly Comparable GAAP Measures” set forth at the end of this earnings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Franchise and royalty expenses</w:t>
      </w:r>
      <w:r>
        <w:rPr>
          <w:rFonts w:ascii="Times New Roman;Times;Serif" w:hAnsi="Times New Roman;Times;Serif"/>
          <w:b w:val="false"/>
          <w:i w:val="false"/>
          <w:caps w:val="false"/>
          <w:smallCaps w:val="false"/>
          <w:sz w:val="20"/>
        </w:rPr>
        <w:t xml:space="preserve"> were RMB14.4 million (USD2.1 million) for the three months ended June 30, 2026, representing a decrease of 15.9% from RMB17.1 million in the same quarter of 2025, which was primarily due to a decrease in total revenues. Franchise and royalty expenses as a percentage of total revenues increased by 0.4 percentage points, from 4.9% in the second quarter of 2025 to 5.3% in the same quarter of 2026, as a result of higher royalty rate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Impairment losses of long-lived assets </w:t>
      </w:r>
      <w:r>
        <w:rPr>
          <w:rFonts w:ascii="Times New Roman;Times;Serif" w:hAnsi="Times New Roman;Times;Serif"/>
          <w:b w:val="false"/>
          <w:i w:val="false"/>
          <w:caps w:val="false"/>
          <w:smallCaps w:val="false"/>
          <w:sz w:val="20"/>
        </w:rPr>
        <w:t>were RMB4.6 million (USD0.7 million) for the three months ended June 30, 2026, compared to RMB9.5 million in the same quarter of 2025, which was primarily due to a decrease in the number of planned closures of underperforming company owned and operated stores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foregoing, </w:t>
      </w:r>
      <w:r>
        <w:rPr>
          <w:rFonts w:ascii="Times New Roman;Times;Serif" w:hAnsi="Times New Roman;Times;Serif"/>
          <w:b/>
          <w:i w:val="false"/>
          <w:caps w:val="false"/>
          <w:smallCaps w:val="false"/>
          <w:sz w:val="20"/>
        </w:rPr>
        <w:t>operating loss</w:t>
      </w:r>
      <w:r>
        <w:rPr>
          <w:rFonts w:ascii="Times New Roman;Times;Serif" w:hAnsi="Times New Roman;Times;Serif"/>
          <w:b w:val="false"/>
          <w:i w:val="false"/>
          <w:caps w:val="false"/>
          <w:smallCaps w:val="false"/>
          <w:sz w:val="20"/>
        </w:rPr>
        <w:t xml:space="preserve"> was RMB58.1 million (USD8.6 million) for the three months ended June 30, 2026, compared to RMB47.8 million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Corporate EBITDA</w:t>
      </w:r>
      <w:r>
        <w:rPr>
          <w:rFonts w:ascii="Times New Roman;Times;Serif" w:hAnsi="Times New Roman;Times;Serif"/>
          <w:b w:val="false"/>
          <w:i w:val="false"/>
          <w:caps w:val="false"/>
          <w:smallCaps w:val="false"/>
          <w:sz w:val="20"/>
        </w:rPr>
        <w:t xml:space="preserve"> was a loss of RMB21.0 million (USD3.1 million) for the three months ended June 30, 2026, compared to a gain of RMB2.2 million in the same quarter of 2025. </w:t>
      </w:r>
      <w:r>
        <w:rPr>
          <w:rFonts w:ascii="Times New Roman;Times;Serif" w:hAnsi="Times New Roman;Times;Serif"/>
          <w:b/>
          <w:i w:val="false"/>
          <w:caps w:val="false"/>
          <w:smallCaps w:val="false"/>
          <w:sz w:val="20"/>
        </w:rPr>
        <w:t xml:space="preserve">Adjusted Corporate EBITDA margin </w:t>
      </w:r>
      <w:r>
        <w:rPr>
          <w:rFonts w:ascii="Times New Roman;Times;Serif" w:hAnsi="Times New Roman;Times;Serif"/>
          <w:b w:val="false"/>
          <w:i w:val="false"/>
          <w:caps w:val="false"/>
          <w:smallCaps w:val="false"/>
          <w:sz w:val="20"/>
        </w:rPr>
        <w:t>was negative 7.6% in the second quarter of 2026, compared to positive 0.6%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Changes in fair value of convertible notes</w:t>
      </w:r>
      <w:r>
        <w:rPr>
          <w:rFonts w:ascii="Times New Roman;Times;Serif" w:hAnsi="Times New Roman;Times;Serif"/>
          <w:b w:val="false"/>
          <w:i w:val="false"/>
          <w:caps w:val="false"/>
          <w:smallCaps w:val="false"/>
          <w:sz w:val="20"/>
        </w:rPr>
        <w:t xml:space="preserve"> were a loss of RMB34.9 million (USD5.1 million) for the three months ended June 30, 2026, compared to a loss of RMB23.4 million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 xml:space="preserve">was RMB97.4 million (USD14.4 million) for the three months ended June 30, 2026, compared to RMB75.9 million for the same quarter of 2025. </w:t>
      </w:r>
      <w:r>
        <w:rPr>
          <w:rFonts w:ascii="Times New Roman;Times;Serif" w:hAnsi="Times New Roman;Times;Serif"/>
          <w:b/>
          <w:i w:val="false"/>
          <w:caps w:val="false"/>
          <w:smallCaps w:val="false"/>
          <w:sz w:val="20"/>
        </w:rPr>
        <w:t>Adjusted net loss</w:t>
      </w:r>
      <w:r>
        <w:rPr>
          <w:rFonts w:ascii="Times New Roman;Times;Serif" w:hAnsi="Times New Roman;Times;Serif"/>
          <w:b w:val="false"/>
          <w:i w:val="false"/>
          <w:caps w:val="false"/>
          <w:smallCaps w:val="false"/>
          <w:sz w:val="20"/>
        </w:rPr>
        <w:t xml:space="preserve">, which excludes: (i) share-based compensation expenses of RMB0.3 million (USD0.05 million); (ii) impairment losses of long-lived assets of RMB4.6 million (USD0.7 million), (iii) impairment losses of rental deposits of RMB2.3 million (USD0.3 million), (iv) loss on disposal of property and equipment of RMB0.5 million (USD0.1 million), and (v) loss from changes in fair value of convertible notes of RMB34.9 million (USD5.1 million), was RMB54.9 million (USD8.1 million) for the three months ended June 30, 2026, compared to RMB39.7 million for the same quarter of 2025. </w:t>
      </w:r>
      <w:r>
        <w:rPr>
          <w:rFonts w:ascii="Times New Roman;Times;Serif" w:hAnsi="Times New Roman;Times;Serif"/>
          <w:b/>
          <w:i w:val="false"/>
          <w:caps w:val="false"/>
          <w:smallCaps w:val="false"/>
          <w:sz w:val="20"/>
        </w:rPr>
        <w:t>Adjusted net loss margin</w:t>
      </w:r>
      <w:r>
        <w:rPr>
          <w:rFonts w:ascii="Times New Roman;Times;Serif" w:hAnsi="Times New Roman;Times;Serif"/>
          <w:b w:val="false"/>
          <w:i w:val="false"/>
          <w:caps w:val="false"/>
          <w:smallCaps w:val="false"/>
          <w:sz w:val="20"/>
        </w:rPr>
        <w:t xml:space="preserve"> was negative 20.0% in the second quarter of 2026, compared to negative 11.4%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loss per ordinary share</w:t>
      </w:r>
      <w:r>
        <w:rPr>
          <w:rFonts w:ascii="Times New Roman;Times;Serif" w:hAnsi="Times New Roman;Times;Serif"/>
          <w:b w:val="false"/>
          <w:i w:val="false"/>
          <w:caps w:val="false"/>
          <w:smallCaps w:val="false"/>
          <w:sz w:val="20"/>
        </w:rPr>
        <w:t xml:space="preserve"> was RMB3.00 (USD0.44) in the second quarter of 2026, compared to RMB2.32 in the same quarter of 2025. </w:t>
      </w:r>
      <w:r>
        <w:rPr>
          <w:rFonts w:ascii="Times New Roman;Times;Serif" w:hAnsi="Times New Roman;Times;Serif"/>
          <w:b/>
          <w:i w:val="false"/>
          <w:caps w:val="false"/>
          <w:smallCaps w:val="false"/>
          <w:sz w:val="20"/>
        </w:rPr>
        <w:t xml:space="preserve">Adjusted basic and diluted net loss per ordinary share </w:t>
      </w:r>
      <w:r>
        <w:rPr>
          <w:rFonts w:ascii="Times New Roman;Times;Serif" w:hAnsi="Times New Roman;Times;Serif"/>
          <w:b w:val="false"/>
          <w:i w:val="false"/>
          <w:caps w:val="false"/>
          <w:smallCaps w:val="false"/>
          <w:sz w:val="20"/>
        </w:rPr>
        <w:t>was RMB1.69 (USD0.25) in the second quarter of 2026, compared to RMB1.21 in the same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total amount of the Company’s cash and cash equivalents and restricted cash was RMB121.1 million (USD17.8 million), compared to RMB129.7 million as of December 31, 2025. The change was primarily attributable to cash disbursements on business operations, partially offset by the draw-down of additional bank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8"/>
        <w:gridCol w:w="60"/>
        <w:gridCol w:w="61"/>
        <w:gridCol w:w="697"/>
        <w:gridCol w:w="215"/>
        <w:gridCol w:w="60"/>
        <w:gridCol w:w="60"/>
        <w:gridCol w:w="688"/>
        <w:gridCol w:w="215"/>
        <w:gridCol w:w="60"/>
        <w:gridCol w:w="61"/>
        <w:gridCol w:w="697"/>
        <w:gridCol w:w="215"/>
        <w:gridCol w:w="60"/>
        <w:gridCol w:w="64"/>
        <w:gridCol w:w="731"/>
        <w:gridCol w:w="215"/>
        <w:gridCol w:w="60"/>
        <w:gridCol w:w="66"/>
        <w:gridCol w:w="758"/>
        <w:gridCol w:w="234"/>
      </w:tblGrid>
      <w:tr>
        <w:trPr/>
        <w:tc>
          <w:tcPr>
            <w:tcW w:w="4928" w:type="dxa"/>
            <w:tcBorders/>
            <w:vAlign w:val="center"/>
          </w:tcPr>
          <w:p>
            <w:pPr>
              <w:pStyle w:val="TableContents"/>
              <w:bidi w:val="0"/>
              <w:spacing w:before="0" w:after="283"/>
              <w:ind w:left="0" w:right="0" w:hanging="180"/>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83"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or as of</w:t>
            </w:r>
          </w:p>
        </w:tc>
        <w:tc>
          <w:tcPr>
            <w:tcW w:w="234" w:type="dxa"/>
            <w:tcBorders/>
            <w:vAlign w:val="center"/>
          </w:tcPr>
          <w:p>
            <w:pPr>
              <w:pStyle w:val="TableContents"/>
              <w:bidi w:val="0"/>
              <w:spacing w:before="0" w:after="283"/>
              <w:ind w:left="0" w:right="0" w:hanging="180"/>
              <w:jc w:val="left"/>
              <w:rPr/>
            </w:pPr>
            <w:r>
              <w:rPr/>
              <w:t> </w:t>
            </w:r>
          </w:p>
        </w:tc>
      </w:tr>
      <w:tr>
        <w:trPr/>
        <w:tc>
          <w:tcPr>
            <w:tcW w:w="4928" w:type="dxa"/>
            <w:tcBorders/>
            <w:vAlign w:val="center"/>
          </w:tcPr>
          <w:p>
            <w:pPr>
              <w:pStyle w:val="TableContents"/>
              <w:bidi w:val="0"/>
              <w:spacing w:before="0" w:after="283"/>
              <w:jc w:val="left"/>
              <w:rPr>
                <w:b/>
              </w:rPr>
            </w:pPr>
            <w:r>
              <w:rPr>
                <w:b/>
              </w:rPr>
              <w:t>Tims only</w:t>
            </w:r>
          </w:p>
        </w:tc>
        <w:tc>
          <w:tcPr>
            <w:tcW w:w="60" w:type="dxa"/>
            <w:tcBorders/>
            <w:vAlign w:val="center"/>
          </w:tcPr>
          <w:p>
            <w:pPr>
              <w:pStyle w:val="TableContents"/>
              <w:bidi w:val="0"/>
              <w:spacing w:before="0" w:after="283"/>
              <w:jc w:val="left"/>
              <w:rPr/>
            </w:pPr>
            <w:r>
              <w:rPr/>
              <w:t> </w:t>
            </w:r>
          </w:p>
        </w:tc>
        <w:tc>
          <w:tcPr>
            <w:tcW w:w="758" w:type="dxa"/>
            <w:gridSpan w:val="2"/>
            <w:tcBorders/>
            <w:vAlign w:val="center"/>
          </w:tcPr>
          <w:p>
            <w:pPr>
              <w:pStyle w:val="TableContents"/>
              <w:bidi w:val="0"/>
              <w:spacing w:before="0" w:after="283"/>
              <w:jc w:val="center"/>
              <w:rPr>
                <w:b/>
              </w:rPr>
            </w:pPr>
            <w:r>
              <w:rPr>
                <w:b/>
              </w:rPr>
              <w:t>Jun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vAlign w:val="center"/>
          </w:tcPr>
          <w:p>
            <w:pPr>
              <w:pStyle w:val="TableContents"/>
              <w:bidi w:val="0"/>
              <w:spacing w:before="0" w:after="283"/>
              <w:jc w:val="center"/>
              <w:rPr>
                <w:b/>
              </w:rPr>
            </w:pPr>
            <w:r>
              <w:rPr>
                <w:b/>
              </w:rPr>
              <w:t>Sep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8" w:type="dxa"/>
            <w:gridSpan w:val="2"/>
            <w:tcBorders/>
            <w:vAlign w:val="center"/>
          </w:tcPr>
          <w:p>
            <w:pPr>
              <w:pStyle w:val="TableContents"/>
              <w:bidi w:val="0"/>
              <w:spacing w:before="0" w:after="283"/>
              <w:jc w:val="center"/>
              <w:rPr>
                <w:b/>
              </w:rPr>
            </w:pPr>
            <w:r>
              <w:rPr>
                <w:b/>
              </w:rPr>
              <w:t>Dec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center"/>
              <w:rPr>
                <w:b/>
              </w:rPr>
            </w:pPr>
            <w:r>
              <w:rPr>
                <w:b/>
              </w:rPr>
              <w:t>Mar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vAlign w:val="center"/>
          </w:tcPr>
          <w:p>
            <w:pPr>
              <w:pStyle w:val="TableContents"/>
              <w:bidi w:val="0"/>
              <w:spacing w:before="0" w:after="283"/>
              <w:jc w:val="center"/>
              <w:rPr>
                <w:b/>
              </w:rPr>
            </w:pPr>
            <w:r>
              <w:rPr>
                <w:b/>
              </w:rPr>
              <w:t>June 30,</w:t>
            </w:r>
          </w:p>
        </w:tc>
        <w:tc>
          <w:tcPr>
            <w:tcW w:w="234" w:type="dxa"/>
            <w:tcBorders/>
            <w:vAlign w:val="center"/>
          </w:tcPr>
          <w:p>
            <w:pPr>
              <w:pStyle w:val="TableContents"/>
              <w:bidi w:val="0"/>
              <w:spacing w:before="0" w:after="283"/>
              <w:ind w:left="0" w:right="0" w:hanging="180"/>
              <w:jc w:val="left"/>
              <w:rPr/>
            </w:pPr>
            <w:r>
              <w:rPr/>
              <w:t> </w:t>
            </w:r>
          </w:p>
        </w:tc>
      </w:tr>
      <w:tr>
        <w:trPr/>
        <w:tc>
          <w:tcPr>
            <w:tcW w:w="4928" w:type="dxa"/>
            <w:tcBorders>
              <w:bottom w:val="single" w:sz="12" w:space="0" w:color="000000"/>
            </w:tcBorders>
            <w:tcMar>
              <w:bottom w:w="28" w:type="dxa"/>
            </w:tcMar>
            <w:vAlign w:val="center"/>
          </w:tcPr>
          <w:p>
            <w:pPr>
              <w:pStyle w:val="TableContents"/>
              <w:bidi w:val="0"/>
              <w:spacing w:before="0" w:after="283"/>
              <w:jc w:val="left"/>
              <w:rPr>
                <w:b/>
              </w:rPr>
            </w:pPr>
            <w:r>
              <w:rPr>
                <w:b/>
              </w:rPr>
              <w:t>(Exclude the discontinued business)</w:t>
            </w:r>
          </w:p>
        </w:tc>
        <w:tc>
          <w:tcPr>
            <w:tcW w:w="60" w:type="dxa"/>
            <w:tcBorders/>
            <w:vAlign w:val="center"/>
          </w:tcPr>
          <w:p>
            <w:pPr>
              <w:pStyle w:val="TableContents"/>
              <w:bidi w:val="0"/>
              <w:spacing w:before="0" w:after="283"/>
              <w:jc w:val="left"/>
              <w:rPr/>
            </w:pPr>
            <w:r>
              <w:rPr/>
              <w:t> </w:t>
            </w:r>
          </w:p>
        </w:tc>
        <w:tc>
          <w:tcPr>
            <w:tcW w:w="7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4" w:type="dxa"/>
            <w:tcBorders/>
            <w:vAlign w:val="center"/>
          </w:tcPr>
          <w:p>
            <w:pPr>
              <w:pStyle w:val="TableContents"/>
              <w:bidi w:val="0"/>
              <w:spacing w:before="0" w:after="283"/>
              <w:ind w:left="0" w:right="0" w:hanging="180"/>
              <w:jc w:val="left"/>
              <w:rPr/>
            </w:pPr>
            <w:r>
              <w:rPr/>
              <w:t> </w:t>
            </w:r>
          </w:p>
        </w:tc>
      </w:tr>
      <w:tr>
        <w:trPr/>
        <w:tc>
          <w:tcPr>
            <w:tcW w:w="4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8"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8"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ind w:left="0" w:right="0" w:hanging="180"/>
              <w:jc w:val="left"/>
              <w:rPr/>
            </w:pPr>
            <w:r>
              <w:rPr/>
              <w:t> </w:t>
            </w:r>
          </w:p>
        </w:tc>
      </w:tr>
      <w:tr>
        <w:trPr/>
        <w:tc>
          <w:tcPr>
            <w:tcW w:w="4928" w:type="dxa"/>
            <w:tcBorders/>
            <w:shd w:fill="CCEEFF" w:val="clear"/>
            <w:vAlign w:val="center"/>
          </w:tcPr>
          <w:p>
            <w:pPr>
              <w:pStyle w:val="TableContents"/>
              <w:bidi w:val="0"/>
              <w:spacing w:before="0" w:after="283"/>
              <w:jc w:val="left"/>
              <w:rPr/>
            </w:pPr>
            <w:r>
              <w:rPr/>
              <w:t>Total stores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1,015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1,047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1,026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1,028</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4928" w:type="dxa"/>
            <w:tcBorders/>
            <w:shd w:fill="FFFFFF" w:val="clear"/>
            <w:vAlign w:val="center"/>
          </w:tcPr>
          <w:p>
            <w:pPr>
              <w:pStyle w:val="TableContents"/>
              <w:bidi w:val="0"/>
              <w:spacing w:before="0" w:after="283"/>
              <w:jc w:val="left"/>
              <w:rPr/>
            </w:pPr>
            <w:r>
              <w:rPr/>
              <w:t>Company owned and operated stores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566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551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562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541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544</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4928" w:type="dxa"/>
            <w:tcBorders/>
            <w:shd w:fill="CCEEFF" w:val="clear"/>
            <w:vAlign w:val="center"/>
          </w:tcPr>
          <w:p>
            <w:pPr>
              <w:pStyle w:val="TableContents"/>
              <w:bidi w:val="0"/>
              <w:spacing w:before="0" w:after="283"/>
              <w:jc w:val="left"/>
              <w:rPr/>
            </w:pPr>
            <w:r>
              <w:rPr/>
              <w:t>Franchised stores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449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485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485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484</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4928" w:type="dxa"/>
            <w:tcBorders/>
            <w:shd w:fill="FFFFFF" w:val="clear"/>
            <w:vAlign w:val="center"/>
          </w:tcPr>
          <w:p>
            <w:pPr>
              <w:pStyle w:val="TableContents"/>
              <w:bidi w:val="0"/>
              <w:spacing w:before="0" w:after="283"/>
              <w:jc w:val="left"/>
              <w:rPr/>
            </w:pPr>
            <w:r>
              <w:rPr/>
              <w:t>Made to order (MTO) stores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692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730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770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765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780</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4928" w:type="dxa"/>
            <w:tcBorders/>
            <w:shd w:fill="CCEEFF" w:val="clear"/>
            <w:vAlign w:val="center"/>
          </w:tcPr>
          <w:p>
            <w:pPr>
              <w:pStyle w:val="TableContents"/>
              <w:bidi w:val="0"/>
              <w:spacing w:before="0" w:after="283"/>
              <w:jc w:val="left"/>
              <w:rPr/>
            </w:pPr>
            <w:r>
              <w:rPr/>
              <w:t>Non-MTO stores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323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277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248</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4928" w:type="dxa"/>
            <w:tcBorders/>
            <w:shd w:fill="FFFFFF" w:val="clear"/>
            <w:vAlign w:val="center"/>
          </w:tcPr>
          <w:p>
            <w:pPr>
              <w:pStyle w:val="TableContents"/>
              <w:bidi w:val="0"/>
              <w:spacing w:before="0" w:after="283"/>
              <w:jc w:val="left"/>
              <w:rPr/>
            </w:pPr>
            <w:r>
              <w:rPr/>
              <w:t>Same-store sales growth for system-wide stores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-4.8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-17.8</w:t>
            </w:r>
          </w:p>
        </w:tc>
        <w:tc>
          <w:tcPr>
            <w:tcW w:w="234" w:type="dxa"/>
            <w:tcBorders/>
            <w:shd w:fill="FFFFFF" w:val="clear"/>
            <w:vAlign w:val="center"/>
          </w:tcPr>
          <w:p>
            <w:pPr>
              <w:pStyle w:val="TableContents"/>
              <w:bidi w:val="0"/>
              <w:spacing w:before="0" w:after="283"/>
              <w:ind w:left="0" w:right="0" w:hanging="180"/>
              <w:jc w:val="left"/>
              <w:rPr/>
            </w:pPr>
            <w:r>
              <w:rPr/>
              <w:t>%</w:t>
            </w:r>
          </w:p>
        </w:tc>
      </w:tr>
      <w:tr>
        <w:trPr/>
        <w:tc>
          <w:tcPr>
            <w:tcW w:w="4928" w:type="dxa"/>
            <w:tcBorders/>
            <w:shd w:fill="CCEEFF" w:val="clear"/>
            <w:vAlign w:val="center"/>
          </w:tcPr>
          <w:p>
            <w:pPr>
              <w:pStyle w:val="TableContents"/>
              <w:bidi w:val="0"/>
              <w:spacing w:before="0" w:after="283"/>
              <w:jc w:val="left"/>
              <w:rPr/>
            </w:pPr>
            <w:r>
              <w:rPr/>
              <w:t>Same-store sales growth for company owned and operated stores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-12.4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-17.3</w:t>
            </w:r>
          </w:p>
        </w:tc>
        <w:tc>
          <w:tcPr>
            <w:tcW w:w="234" w:type="dxa"/>
            <w:tcBorders/>
            <w:shd w:fill="CCEEFF" w:val="clear"/>
            <w:vAlign w:val="center"/>
          </w:tcPr>
          <w:p>
            <w:pPr>
              <w:pStyle w:val="TableContents"/>
              <w:bidi w:val="0"/>
              <w:spacing w:before="0" w:after="283"/>
              <w:ind w:left="0" w:right="0" w:hanging="180"/>
              <w:jc w:val="left"/>
              <w:rPr/>
            </w:pPr>
            <w:r>
              <w:rPr/>
              <w:t>%</w:t>
            </w:r>
          </w:p>
        </w:tc>
      </w:tr>
      <w:tr>
        <w:trPr/>
        <w:tc>
          <w:tcPr>
            <w:tcW w:w="4928" w:type="dxa"/>
            <w:tcBorders/>
            <w:shd w:fill="FFFFFF" w:val="clear"/>
            <w:vAlign w:val="center"/>
          </w:tcPr>
          <w:p>
            <w:pPr>
              <w:pStyle w:val="TableContents"/>
              <w:bidi w:val="0"/>
              <w:spacing w:before="0" w:after="283"/>
              <w:jc w:val="left"/>
              <w:rPr/>
            </w:pPr>
            <w:r>
              <w:rPr/>
              <w:t>Registered loyalty club members (in thousands)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26,192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27,900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31,021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35,930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37,118</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4928" w:type="dxa"/>
            <w:tcBorders/>
            <w:shd w:fill="CCEEFF" w:val="clear"/>
            <w:vAlign w:val="center"/>
          </w:tcPr>
          <w:p>
            <w:pPr>
              <w:pStyle w:val="TableContents"/>
              <w:bidi w:val="0"/>
              <w:spacing w:before="0" w:after="283"/>
              <w:jc w:val="left"/>
              <w:rPr/>
            </w:pPr>
            <w:r>
              <w:rPr/>
              <w:t>Company owned and operated store contribution (Renminbi in thousands)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27,176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21,786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9,164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3,730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12,584</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4928" w:type="dxa"/>
            <w:tcBorders/>
            <w:shd w:fill="FFFFFF" w:val="clear"/>
            <w:vAlign w:val="center"/>
          </w:tcPr>
          <w:p>
            <w:pPr>
              <w:pStyle w:val="TableContents"/>
              <w:bidi w:val="0"/>
              <w:spacing w:before="0" w:after="283"/>
              <w:jc w:val="left"/>
              <w:rPr/>
            </w:pPr>
            <w:r>
              <w:rPr/>
              <w:t>Company owned and operated store contribution margin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9.6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7.7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3.7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5.7</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DEFINITIONS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b w:val="false"/>
              </w:rPr>
            </w:pPr>
            <w:r>
              <w:rPr>
                <w:b w:val="false"/>
              </w:rPr>
              <w:t>Same-store sales growth. The percentage change in the sales of stores that have been operating for 12 months or longer during a certain period compared to the same period from the prior year. The same-store sales growth for any period of more than a month equals the arithmetic average of the same-store sales growth of each month covered in the period. If a store was closed for seven days or more during any given month, its sales during that month and the same month in the comparison period are excluded for purposes of measuring same-store sales growth.</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val="false"/>
              </w:rPr>
              <w:t xml:space="preserve">Net new store openings. The </w:t>
            </w:r>
            <w:r>
              <w:rPr/>
              <w:t xml:space="preserve">gross number of new stores opened during the period minus the number of stores permanently closed </w:t>
            </w:r>
            <w:r>
              <w:rPr>
                <w:b w:val="false"/>
              </w:rPr>
              <w:t>during the period.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b w:val="false"/>
              </w:rPr>
            </w:pPr>
            <w:r>
              <w:rPr>
                <w:b w:val="false"/>
              </w:rPr>
              <w:t>System sales. Gross merchandise value of sales generated from both company owned and operated stores and franchised stores.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b w:val="false"/>
              </w:rPr>
            </w:pPr>
            <w:r>
              <w:rPr>
                <w:b w:val="false"/>
              </w:rPr>
              <w:t>Company owned and operated store contribution (previously reported as adjusted store EBITDA). Calculated as fully burdened gross profit of company owned and operated stores excluding depreciation and amortization.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b w:val="false"/>
              </w:rPr>
            </w:pPr>
            <w:r>
              <w:rPr>
                <w:b w:val="false"/>
              </w:rPr>
              <w:t>Company owned and operated store contribution margin (previously reported as adjusted store EBITDA margin). Calculated as company owned and operated store contribution as a percentage of revenues from company owned and operated stores.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b w:val="false"/>
              </w:rPr>
            </w:pPr>
            <w:r>
              <w:rPr>
                <w:b w:val="false"/>
              </w:rPr>
              <w:t>Adjusted general and administrative expenses. Calculated as general and administrative expenses excluding share-based compensation expenses, professional fees related to financing programs, and impairment losses of rental deposits.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val="false"/>
              </w:rPr>
              <w:t xml:space="preserve">Adjusted corporate EBITDA. Calculated as operating loss excluding certain non-cash expenses consisting of depreciation and amortization, share-based compensation expenses, impairment losses of long-lived assets, </w:t>
            </w:r>
            <w:r>
              <w:rPr/>
              <w:t>loss on disposal of property and equipment, professional fees related to financing programs</w:t>
            </w:r>
            <w:r>
              <w:rPr>
                <w:b/>
              </w:rPr>
              <w:t xml:space="preserve">, </w:t>
            </w:r>
            <w:r>
              <w:rPr>
                <w:b w:val="false"/>
              </w:rPr>
              <w:t>and impairment losses of rental deposits</w:t>
            </w:r>
            <w:r>
              <w:rPr>
                <w:b/>
              </w:rPr>
              <w:t>.</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b w:val="false"/>
              </w:rPr>
            </w:pPr>
            <w:r>
              <w:rPr>
                <w:b w:val="false"/>
              </w:rPr>
              <w:t>Adjusted corporate EBITDA margin. Calculated as adjusted corporate EBITDA as a percentage of total revenues.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b w:val="false"/>
              </w:rPr>
              <w:t>Adjusted net loss. Calculated as net loss excluding</w:t>
            </w:r>
            <w:r>
              <w:rPr/>
              <w:t xml:space="preserve"> share-based compensation expenses, </w:t>
            </w:r>
            <w:r>
              <w:rPr>
                <w:b w:val="false"/>
              </w:rPr>
              <w:t xml:space="preserve">impairment losses of long-lived assets, </w:t>
            </w:r>
            <w:r>
              <w:rPr/>
              <w:t xml:space="preserve">loss on disposal of property and equipment, professional fees related to financing programs, </w:t>
            </w:r>
            <w:r>
              <w:rPr>
                <w:b/>
              </w:rPr>
              <w:t>i</w:t>
            </w:r>
            <w:r>
              <w:rPr>
                <w:b w:val="false"/>
              </w:rPr>
              <w:t>mpairment losses of rental deposits,</w:t>
            </w:r>
            <w:r>
              <w:rPr/>
              <w:t xml:space="preserve"> and changes in fair value of convertible notes.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caps w:val="false"/>
                <w:smallCaps w:val="false"/>
              </w:rPr>
            </w:pPr>
            <w:r>
              <w:rPr>
                <w:caps w:val="false"/>
                <w:smallCaps w:val="false"/>
              </w:rPr>
              <w:t>●</w:t>
            </w:r>
          </w:p>
        </w:tc>
        <w:tc>
          <w:tcPr>
            <w:tcW w:w="9963" w:type="dxa"/>
            <w:tcBorders/>
            <w:vAlign w:val="center"/>
          </w:tcPr>
          <w:p>
            <w:pPr>
              <w:pStyle w:val="TableContents"/>
              <w:bidi w:val="0"/>
              <w:spacing w:before="0" w:after="283"/>
              <w:jc w:val="both"/>
              <w:rPr>
                <w:b w:val="false"/>
              </w:rPr>
            </w:pPr>
            <w:r>
              <w:rPr>
                <w:b w:val="false"/>
              </w:rPr>
              <w:t>Adjusted net loss margin. Calculated as adjusted net loss as a percentage of total revenues.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b w:val="false"/>
              </w:rPr>
            </w:pPr>
            <w:r>
              <w:rPr>
                <w:b w:val="false"/>
              </w:rPr>
              <w:t>Adjusted basic and diluted net loss per ordinary share. Calculated as adjusted net loss attributable to the Company’s ordinary shareholders divided by weighted-average number of basic and diluted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Tims China announced the official launch of a joint membership campaign with China Southern Airlines. The two companies will work together on member benefits integration, consumer touchpoint fusion, and service experience innovation, giving members of both programs a new “coffee plus travel” lifestyle experience and expanding the membership service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financial measures, namely company owned and operated store contribution, company owned and operated store contribution margin, adjusted general and administrative expenses, adjusted corporate EBITDA, adjusted corporate EBITDA margin, adjusted net loss, adjusted net loss margin, and adjusted basic and diluted net loss per ordinary share in evaluating its operating results and for financial and operational decision-making purposes. The Company defines (i) company owned and operated store contribution as fully burdened gross profit of company owned and operated stores excluding depreciation and amortization; (ii) company owned and operated store contribution margin as company owned and operated store contribution as a percentage of revenues from company owned and operated stores; (iii) adjusted general and administrative expenses as general and administrative expenses excluding share-based compensation expenses, professional fees related to financing programs, and impairment losses of rental deposits; (iv) adjusted corporate EBITDA as operating loss excluding certain non-cash expenses consisting of depreciation and amortization, share-based compensation expenses, impairment losses of long-lived assets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loss on disposal of property and equipment, professional fees related to financing programs, and impairment losses of rental deposits; (v) adjusted corporate EBITDA margin as adjusted corporate EBITDA as a percentage of total revenues; (vi) adjusted net loss as net loss excluding share-based compensation expenses, impairment losses of long-lived assets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loss on disposal of property and equipment, professional fees related to financing programs, impairment losses of rental deposits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changes in fair value of convertible notes; (vii) adjusted net loss margin as adjusted net loss as a percentage of total revenues; and (viii) adjusted basic and diluted net loss per ordinary share as adjusted net loss attributable to the Company’s ordinary shareholders divided by weighted-average number of basic and diluted ordinary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believes company owned and operated store contribution, company owned and operated store contribution margin, adjusted general and administrative expenses, adjusted corporate EBITDA, adjusted corporate EBITDA margin, adjusted net loss, adjusted net loss margin, and adjusted basic and diluted net loss per ordinary share enhance investors’ overall understanding of its financial performance and allow for greater visibility with respect to key metrics used by its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defined under U.S. GAAP and are not presented in accordance with U.S. GAAP. As these non-GAAP financial measures have limitations as analytical tools and may not be calculated in the same manner by all companies, they may not be comparable to other similarly titled measures used by other companies. The Company compensates for these limitations by reconciling the non-GAAP financial measures to the nearest U.S. GAAP performance measures, which should be considered when evaluating the Company’s performance. For reconciliation of these non-GAAP financial measures to the most directly comparable GAAP financial measures, please see the section of the accompanying tables titled, “Reconciliation of Non-GAAP Measures to the Most Directly Comparable GAAP Measures.” The Company encourages investors and others to review its financial information in its entirety and not rely on any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contains translations of certain RMB amounts into U.S. dollars (“USD”) at specified rates solely for the convenience of the reader. Unless otherwise stated, all translations from RMB to USD were made at the rate of RMB6.7851 to USD1.00, the exchange rate in effect on June 30, 2026 set forth in the H.10 statistical release of the Federal Reserve Board. The Company makes no representation that the RMB or USD amounts referred could be converted into USD or RMB, as the case may be, at any rate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a conference call today, on Tuesday, August 18, 2026, at 8:00 am Eastern Time (on Tuesday, August 18, 2026, at 8:00 pm Beijing Time) to discuss the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are strongly encouraged to pre-register for the conference call, by using the weblink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https://register-conf.media-server.com/register/BIe1051e377efc4328b00acdcfb0146d50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may also view the live webcast by registering through below weblink: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https://edge.media-server.com/mmc/p/y7354vo8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features a ‘Submit Your Question’ tab at the top, where you will have the opportunity to submit your questions before and during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website at https://ir.timschina.com under “Events and 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earnings release may be considered forward-looking statements within the meaning of the “safe harbor” provisions of the United States Private Securities Litigation Reform Act of 1995, such as the Company’s ability to further grow its business and store network, optimize its cost structure, improve its operational efficiency, and achieve profitable growth.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20-F,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 INTERNATIONAL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 International Limited (Nasdaq: THCH) (“Tims China”) is the parent company of the exclusive master franchisees of Tim Hortons coffee shops in mainland China, Hong Kong and Macau.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philosophy is rooted in world-class execution and data-driven decision making and centered around true local relevance, continuous innovation, genuine community, and absolute convenience. For more information, please visit https://www.timschina.com.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TIM HORTONS®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 HORTONS® brand and related trademarks are used by Tims China pursuant to a franchise agreement with Tim Hortons Restaurants International GmbH and its affiliates (collectively, the “Identified Persons”). The Identified Persons are entities entirely separate and distinct from Tims China and its subsidiaries (the “Group”). No Identified Person exercises any control over the business, operations, finances or management of the Group, and no Identified Person is responsible for any obligations or liabilities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AND MEDIA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IR@timschina.com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and Media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Patty Yu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Patty.Yu@timschina.com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RMB and US$,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9305" w:type="dxa"/>
        <w:jc w:val="left"/>
        <w:tblInd w:w="0" w:type="dxa"/>
        <w:tblLayout w:type="fixed"/>
        <w:tblCellMar>
          <w:top w:w="0" w:type="dxa"/>
          <w:left w:w="0" w:type="dxa"/>
          <w:bottom w:w="0" w:type="dxa"/>
          <w:right w:w="0" w:type="dxa"/>
        </w:tblCellMar>
      </w:tblPr>
      <w:tblGrid>
        <w:gridCol w:w="5360"/>
        <w:gridCol w:w="60"/>
        <w:gridCol w:w="76"/>
        <w:gridCol w:w="1339"/>
        <w:gridCol w:w="95"/>
        <w:gridCol w:w="60"/>
        <w:gridCol w:w="60"/>
        <w:gridCol w:w="1055"/>
        <w:gridCol w:w="95"/>
        <w:gridCol w:w="60"/>
        <w:gridCol w:w="60"/>
        <w:gridCol w:w="875"/>
        <w:gridCol w:w="110"/>
      </w:tblGrid>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121,795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107,833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15,892</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7,916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1,949</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Amount due from related parties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17,692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1,800</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36,793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4,854</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142,235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128,813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18,985</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326,626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295,018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43,480</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332,070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287,164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42,323</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81,014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10,725</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348,916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268,491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39,571</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88,051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104,193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15,356</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850,051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732,616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107,975</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1,176,677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1,027,634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151,455</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LIABILITIES AND SHAREHOLDERS’EQUITY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Bank borrowings, current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395,088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66,083</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199,152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26,661</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37,197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4,897</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17,414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7,816</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180,806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169,239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24,943</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172,605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174,358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25,697</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1,002,262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1,059,135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156,097</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Convertible notes, at fair value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1,152,723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1,183,734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174,461</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10,133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1,234</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240,282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175,901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25,925</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7,712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1,054</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1,410,850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1,375,160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202,674</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2,413,112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2,434,295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358,771</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Ordinary shares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1,821,605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1,823,869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268,805</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Accumulated losses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(3,102,994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(3,310,359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(487,887</w:t>
            </w:r>
          </w:p>
        </w:tc>
        <w:tc>
          <w:tcPr>
            <w:tcW w:w="110" w:type="dxa"/>
            <w:tcBorders/>
            <w:shd w:fill="FFFFFF" w:val="clear"/>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38,393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10,704</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Total deficit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(1,242,986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(1,413,861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(208,377</w:t>
            </w:r>
          </w:p>
        </w:tc>
        <w:tc>
          <w:tcPr>
            <w:tcW w:w="110" w:type="dxa"/>
            <w:tcBorders/>
            <w:shd w:fill="CCEEFF" w:val="clear"/>
            <w:vAlign w:val="center"/>
          </w:tcPr>
          <w:p>
            <w:pPr>
              <w:pStyle w:val="TableContents"/>
              <w:bidi w:val="0"/>
              <w:spacing w:before="0" w:after="283"/>
              <w:jc w:val="left"/>
              <w:rPr/>
            </w:pPr>
            <w:r>
              <w:rPr/>
              <w:t>)</w:t>
            </w:r>
          </w:p>
        </w:tc>
      </w:tr>
      <w:tr>
        <w:trPr/>
        <w:tc>
          <w:tcPr>
            <w:tcW w:w="536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6,551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1,061</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shareholders’ deficit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(1,236,435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(1,406,661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(207,316</w:t>
            </w:r>
          </w:p>
        </w:tc>
        <w:tc>
          <w:tcPr>
            <w:tcW w:w="110" w:type="dxa"/>
            <w:tcBorders/>
            <w:shd w:fill="CCEEFF" w:val="clear"/>
            <w:vAlign w:val="center"/>
          </w:tcPr>
          <w:p>
            <w:pPr>
              <w:pStyle w:val="TableContents"/>
              <w:bidi w:val="0"/>
              <w:spacing w:before="0" w:after="283"/>
              <w:jc w:val="left"/>
              <w:rPr>
                <w:b/>
              </w:rPr>
            </w:pPr>
            <w:r>
              <w:rPr>
                <w:b/>
              </w:rPr>
              <w:t>)</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liabilities and shareholders’ deficit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1,176,677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1,027,634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151,455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66750" cy="704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RMB and US$, except for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4"/>
        <w:gridCol w:w="60"/>
        <w:gridCol w:w="64"/>
        <w:gridCol w:w="862"/>
        <w:gridCol w:w="102"/>
        <w:gridCol w:w="64"/>
        <w:gridCol w:w="64"/>
        <w:gridCol w:w="862"/>
        <w:gridCol w:w="102"/>
        <w:gridCol w:w="64"/>
        <w:gridCol w:w="64"/>
        <w:gridCol w:w="814"/>
        <w:gridCol w:w="95"/>
        <w:gridCol w:w="60"/>
        <w:gridCol w:w="62"/>
        <w:gridCol w:w="911"/>
        <w:gridCol w:w="98"/>
        <w:gridCol w:w="62"/>
        <w:gridCol w:w="62"/>
        <w:gridCol w:w="911"/>
        <w:gridCol w:w="98"/>
        <w:gridCol w:w="62"/>
        <w:gridCol w:w="62"/>
        <w:gridCol w:w="786"/>
        <w:gridCol w:w="120"/>
      </w:tblGrid>
      <w:tr>
        <w:trPr/>
        <w:tc>
          <w:tcPr>
            <w:tcW w:w="3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20" w:type="dxa"/>
            <w:tcBorders/>
            <w:vAlign w:val="center"/>
          </w:tcPr>
          <w:p>
            <w:pPr>
              <w:pStyle w:val="TableContents"/>
              <w:bidi w:val="0"/>
              <w:spacing w:before="0" w:after="283"/>
              <w:jc w:val="left"/>
              <w:rPr/>
            </w:pPr>
            <w:r>
              <w:rPr/>
              <w:t> </w:t>
            </w:r>
          </w:p>
        </w:tc>
      </w:tr>
      <w:tr>
        <w:trPr/>
        <w:tc>
          <w:tcPr>
            <w:tcW w:w="3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r>
      <w:tr>
        <w:trPr/>
        <w:tc>
          <w:tcPr>
            <w:tcW w:w="3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0" w:type="dxa"/>
            <w:tcBorders/>
            <w:vAlign w:val="center"/>
          </w:tcPr>
          <w:p>
            <w:pPr>
              <w:pStyle w:val="TableContents"/>
              <w:bidi w:val="0"/>
              <w:spacing w:before="0" w:after="283"/>
              <w:ind w:left="0" w:right="0" w:hanging="180"/>
              <w:jc w:val="left"/>
              <w:rPr/>
            </w:pPr>
            <w:r>
              <w:rPr/>
              <w:t> </w:t>
            </w:r>
          </w:p>
        </w:tc>
      </w:tr>
      <w:tr>
        <w:trPr/>
        <w:tc>
          <w:tcPr>
            <w:tcW w:w="3694"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926"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6"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73"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Company owned and operated stores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281,872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220,855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32,550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536,631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428,071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63,090</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67,104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52,522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7,741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113,087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102,047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15,040</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348,976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273,377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b/>
              </w:rPr>
            </w:pPr>
            <w:r>
              <w:rPr>
                <w:b/>
              </w:rPr>
              <w:t>40,291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b/>
              </w:rPr>
            </w:pPr>
            <w:r>
              <w:rPr>
                <w:b/>
              </w:rPr>
              <w:t>649,718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b/>
              </w:rPr>
            </w:pPr>
            <w:r>
              <w:rPr>
                <w:b/>
              </w:rPr>
              <w:t>530,118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b/>
              </w:rPr>
            </w:pPr>
            <w:r>
              <w:rPr>
                <w:b/>
              </w:rPr>
              <w:t>78,130</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b/>
              </w:rPr>
            </w:pPr>
            <w:r>
              <w:rPr>
                <w:b/>
              </w:rPr>
              <w:t>Costs and expenses, net: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Company owned and operated stores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Food and packaging</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84,807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62,495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9,211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162,279</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121,427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17,896</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Rental and property management fee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56,824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47,943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7,066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113,119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95,142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14,022</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Payroll and employee benefits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50,227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43,882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100,247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88,700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13,073</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Delivery costs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33,338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28,912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4,262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60,379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56,235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8,287</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20,424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17,425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38,442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35,605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5,248</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Store depreciation and amortization</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26,789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20,406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55,147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41,992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6,189</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b/>
              </w:rPr>
            </w:pPr>
            <w:r>
              <w:rPr>
                <w:b/>
              </w:rPr>
              <w:t>Company owned and operated store costs and expenses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272,409</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221,063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b/>
              </w:rPr>
            </w:pPr>
            <w:r>
              <w:rPr>
                <w:b/>
              </w:rPr>
              <w:t>32,581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b/>
              </w:rPr>
            </w:pPr>
            <w:r>
              <w:rPr>
                <w:b/>
              </w:rPr>
              <w:t>529,613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b/>
              </w:rPr>
            </w:pPr>
            <w:r>
              <w:rPr>
                <w:b/>
              </w:rPr>
              <w:t>439,101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b/>
              </w:rPr>
            </w:pPr>
            <w:r>
              <w:rPr>
                <w:b/>
              </w:rPr>
              <w:t>64,715</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Costs of other revenues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46,502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36,804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78,028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69,852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10,295</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Marketing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13,906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13,295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31,335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23,104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3,405</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37,698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42,261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89,508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90,305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13,311</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Franchise and royalty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17,089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14,366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2,117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30,985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27,901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4,112</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Other operating costs and expenses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98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616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1,213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1,175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173</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247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502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2,980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1,114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164</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Impairment losses of long-lived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9,485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4,563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21,103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10,450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1,540</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679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1,986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1,965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2,502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369</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b/>
              </w:rPr>
            </w:pPr>
            <w:r>
              <w:rPr>
                <w:b/>
              </w:rPr>
              <w:t>Total costs and expenses, net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396,755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331,484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782,800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660,500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97,346</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(47,779</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(58,107</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b/>
              </w:rPr>
            </w:pPr>
            <w:r>
              <w:rPr>
                <w:b/>
              </w:rPr>
              <w:t>(8,564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b/>
              </w:rPr>
            </w:pPr>
            <w:r>
              <w:rPr>
                <w:b/>
              </w:rPr>
              <w:t>(133,082</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b/>
              </w:rPr>
            </w:pPr>
            <w:r>
              <w:rPr>
                <w:b/>
              </w:rPr>
              <w:t>(130,382</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b/>
              </w:rPr>
            </w:pPr>
            <w:r>
              <w:rPr>
                <w:b/>
              </w:rPr>
              <w:t>(19,216</w:t>
            </w:r>
          </w:p>
        </w:tc>
        <w:tc>
          <w:tcPr>
            <w:tcW w:w="120" w:type="dxa"/>
            <w:tcBorders/>
            <w:shd w:fill="CCEEFF" w:val="clear"/>
            <w:vAlign w:val="center"/>
          </w:tcPr>
          <w:p>
            <w:pPr>
              <w:pStyle w:val="TableContents"/>
              <w:bidi w:val="0"/>
              <w:spacing w:before="0" w:after="283"/>
              <w:ind w:left="0" w:right="0" w:hanging="180"/>
              <w:jc w:val="left"/>
              <w:rPr>
                <w:b/>
              </w:rPr>
            </w:pPr>
            <w:r>
              <w:rPr>
                <w:b/>
              </w:rPr>
              <w:t>)</w:t>
            </w:r>
          </w:p>
        </w:tc>
      </w:tr>
      <w:tr>
        <w:trPr/>
        <w:tc>
          <w:tcPr>
            <w:tcW w:w="3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983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1,145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1,083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1,545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228</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(4,831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(4,285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(8,407</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(8,239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(1,214</w:t>
            </w:r>
          </w:p>
        </w:tc>
        <w:tc>
          <w:tcPr>
            <w:tcW w:w="120" w:type="dxa"/>
            <w:tcBorders/>
            <w:shd w:fill="FFFFFF" w:val="clear"/>
            <w:vAlign w:val="center"/>
          </w:tcPr>
          <w:p>
            <w:pPr>
              <w:pStyle w:val="TableContents"/>
              <w:bidi w:val="0"/>
              <w:spacing w:before="0" w:after="283"/>
              <w:ind w:left="0" w:right="0" w:hanging="180"/>
              <w:jc w:val="left"/>
              <w:rPr/>
            </w:pPr>
            <w:r>
              <w:rPr/>
              <w:t>)</w:t>
            </w:r>
          </w:p>
        </w:tc>
      </w:tr>
      <w:tr>
        <w:trPr/>
        <w:tc>
          <w:tcPr>
            <w:tcW w:w="3694" w:type="dxa"/>
            <w:tcBorders/>
            <w:shd w:fill="CCEEFF" w:val="clear"/>
            <w:vAlign w:val="center"/>
          </w:tcPr>
          <w:p>
            <w:pPr>
              <w:pStyle w:val="TableContents"/>
              <w:bidi w:val="0"/>
              <w:spacing w:before="0" w:after="283"/>
              <w:jc w:val="left"/>
              <w:rPr/>
            </w:pPr>
            <w:r>
              <w:rPr/>
              <w:t>Foreign currency transaction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(431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(1,337</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(51</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(2,181</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(322</w:t>
            </w:r>
          </w:p>
        </w:tc>
        <w:tc>
          <w:tcPr>
            <w:tcW w:w="120" w:type="dxa"/>
            <w:tcBorders/>
            <w:shd w:fill="CCEEFF" w:val="clear"/>
            <w:vAlign w:val="center"/>
          </w:tcPr>
          <w:p>
            <w:pPr>
              <w:pStyle w:val="TableContents"/>
              <w:bidi w:val="0"/>
              <w:spacing w:before="0" w:after="283"/>
              <w:ind w:left="0" w:right="0" w:hanging="180"/>
              <w:jc w:val="left"/>
              <w:rPr/>
            </w:pPr>
            <w:r>
              <w:rPr/>
              <w:t>)</w:t>
            </w:r>
          </w:p>
        </w:tc>
      </w:tr>
      <w:tr>
        <w:trPr/>
        <w:tc>
          <w:tcPr>
            <w:tcW w:w="3694" w:type="dxa"/>
            <w:tcBorders/>
            <w:shd w:fill="FFFFFF" w:val="clear"/>
            <w:vAlign w:val="center"/>
          </w:tcPr>
          <w:p>
            <w:pPr>
              <w:pStyle w:val="TableContents"/>
              <w:bidi w:val="0"/>
              <w:spacing w:before="0" w:after="283"/>
              <w:jc w:val="left"/>
              <w:rPr/>
            </w:pPr>
            <w:r>
              <w:rPr/>
              <w:t>Changes in fair value of convertible notes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(23,383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(34,857</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(5,137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6,075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(67,459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(9,942</w:t>
            </w:r>
          </w:p>
        </w:tc>
        <w:tc>
          <w:tcPr>
            <w:tcW w:w="120" w:type="dxa"/>
            <w:tcBorders/>
            <w:shd w:fill="FFFFFF" w:val="clear"/>
            <w:vAlign w:val="center"/>
          </w:tcPr>
          <w:p>
            <w:pPr>
              <w:pStyle w:val="TableContents"/>
              <w:bidi w:val="0"/>
              <w:spacing w:before="0" w:after="283"/>
              <w:ind w:left="0" w:right="0" w:hanging="180"/>
              <w:jc w:val="left"/>
              <w:rPr/>
            </w:pPr>
            <w:r>
              <w:rPr/>
              <w:t>)</w:t>
            </w:r>
          </w:p>
        </w:tc>
      </w:tr>
      <w:tr>
        <w:trPr/>
        <w:tc>
          <w:tcPr>
            <w:tcW w:w="3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b/>
              </w:rPr>
            </w:pPr>
            <w:r>
              <w:rPr>
                <w:b/>
              </w:rPr>
              <w:t>Loss before income taxes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(75,441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(97,441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(14,361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(134,382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(206,716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(30,466</w:t>
            </w:r>
          </w:p>
        </w:tc>
        <w:tc>
          <w:tcPr>
            <w:tcW w:w="120" w:type="dxa"/>
            <w:tcBorders/>
            <w:shd w:fill="FFFFFF" w:val="clear"/>
            <w:vAlign w:val="center"/>
          </w:tcPr>
          <w:p>
            <w:pPr>
              <w:pStyle w:val="TableContents"/>
              <w:bidi w:val="0"/>
              <w:spacing w:before="0" w:after="283"/>
              <w:ind w:left="0" w:right="0" w:hanging="180"/>
              <w:jc w:val="left"/>
              <w:rPr/>
            </w:pPr>
            <w:r>
              <w:rPr/>
              <w:t>)</w:t>
            </w:r>
          </w:p>
        </w:tc>
      </w:tr>
      <w:tr>
        <w:trPr/>
        <w:tc>
          <w:tcPr>
            <w:tcW w:w="3694" w:type="dxa"/>
            <w:tcBorders/>
            <w:shd w:fill="CCEEFF" w:val="clear"/>
            <w:vAlign w:val="center"/>
          </w:tcPr>
          <w:p>
            <w:pPr>
              <w:pStyle w:val="TableContents"/>
              <w:bidi w:val="0"/>
              <w:spacing w:before="0" w:after="283"/>
              <w:jc w:val="left"/>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(484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(484</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(75,925</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(97,441</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(14,361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(134,866</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(206,716</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(30,466</w:t>
            </w:r>
          </w:p>
        </w:tc>
        <w:tc>
          <w:tcPr>
            <w:tcW w:w="120" w:type="dxa"/>
            <w:tcBorders/>
            <w:shd w:fill="FFFFFF" w:val="clear"/>
            <w:vAlign w:val="center"/>
          </w:tcPr>
          <w:p>
            <w:pPr>
              <w:pStyle w:val="TableContents"/>
              <w:bidi w:val="0"/>
              <w:spacing w:before="0" w:after="283"/>
              <w:ind w:left="0" w:right="0" w:hanging="180"/>
              <w:jc w:val="left"/>
              <w:rPr>
                <w:b/>
              </w:rPr>
            </w:pPr>
            <w:r>
              <w:rPr>
                <w:b/>
              </w:rPr>
              <w:t>)</w:t>
            </w:r>
          </w:p>
        </w:tc>
      </w:tr>
      <w:tr>
        <w:trPr/>
        <w:tc>
          <w:tcPr>
            <w:tcW w:w="3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Less: Net (loss)/income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(470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28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(1,390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649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96</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Net loss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(75,455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(97,469</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(14,365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(133,476</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(207,365</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pPr>
            <w:r>
              <w:rPr/>
              <w:t>(30,562</w:t>
            </w:r>
          </w:p>
        </w:tc>
        <w:tc>
          <w:tcPr>
            <w:tcW w:w="120" w:type="dxa"/>
            <w:tcBorders/>
            <w:shd w:fill="CCEEFF" w:val="clear"/>
            <w:vAlign w:val="center"/>
          </w:tcPr>
          <w:p>
            <w:pPr>
              <w:pStyle w:val="TableContents"/>
              <w:bidi w:val="0"/>
              <w:spacing w:before="0" w:after="283"/>
              <w:ind w:left="0" w:right="0" w:hanging="180"/>
              <w:jc w:val="left"/>
              <w:rPr/>
            </w:pPr>
            <w:r>
              <w:rPr/>
              <w:t>)</w:t>
            </w:r>
          </w:p>
        </w:tc>
      </w:tr>
      <w:tr>
        <w:trPr/>
        <w:tc>
          <w:tcPr>
            <w:tcW w:w="3694" w:type="dxa"/>
            <w:tcBorders/>
            <w:shd w:fill="FFFFFF" w:val="clear"/>
            <w:vAlign w:val="center"/>
          </w:tcPr>
          <w:p>
            <w:pPr>
              <w:pStyle w:val="TableContents"/>
              <w:bidi w:val="0"/>
              <w:spacing w:before="0" w:after="283"/>
              <w:jc w:val="left"/>
              <w:rPr/>
            </w:pPr>
            <w:r>
              <w:rPr/>
              <w:t>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double" w:sz="10" w:space="0" w:color="000000"/>
            </w:tcBorders>
            <w:shd w:fill="FFFFFF" w:val="clear"/>
            <w:tcMar>
              <w:bottom w:w="28" w:type="dxa"/>
            </w:tcMar>
            <w:vAlign w:val="center"/>
          </w:tcPr>
          <w:p>
            <w:pPr>
              <w:pStyle w:val="TableContents"/>
              <w:bidi w:val="0"/>
              <w:spacing w:before="0" w:after="283"/>
              <w:jc w:val="right"/>
              <w:rPr/>
            </w:pPr>
            <w:r>
              <w:rPr/>
              <w:t>(2.32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double" w:sz="10" w:space="0" w:color="000000"/>
            </w:tcBorders>
            <w:shd w:fill="FFFFFF" w:val="clear"/>
            <w:tcMar>
              <w:bottom w:w="28" w:type="dxa"/>
            </w:tcMar>
            <w:vAlign w:val="center"/>
          </w:tcPr>
          <w:p>
            <w:pPr>
              <w:pStyle w:val="TableContents"/>
              <w:bidi w:val="0"/>
              <w:spacing w:before="0" w:after="283"/>
              <w:jc w:val="right"/>
              <w:rPr/>
            </w:pPr>
            <w:r>
              <w:rPr/>
              <w:t>(3.00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double" w:sz="10" w:space="0" w:color="000000"/>
            </w:tcBorders>
            <w:shd w:fill="FFFFFF" w:val="clear"/>
            <w:tcMar>
              <w:bottom w:w="28" w:type="dxa"/>
            </w:tcMar>
            <w:vAlign w:val="center"/>
          </w:tcPr>
          <w:p>
            <w:pPr>
              <w:pStyle w:val="TableContents"/>
              <w:bidi w:val="0"/>
              <w:spacing w:before="0" w:after="283"/>
              <w:jc w:val="right"/>
              <w:rPr/>
            </w:pPr>
            <w:r>
              <w:rPr/>
              <w:t>(0.44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shd w:fill="FFFFFF" w:val="clear"/>
            <w:tcMar>
              <w:bottom w:w="28" w:type="dxa"/>
            </w:tcMar>
            <w:vAlign w:val="center"/>
          </w:tcPr>
          <w:p>
            <w:pPr>
              <w:pStyle w:val="TableContents"/>
              <w:bidi w:val="0"/>
              <w:spacing w:before="0" w:after="283"/>
              <w:jc w:val="right"/>
              <w:rPr/>
            </w:pPr>
            <w:r>
              <w:rPr/>
              <w:t>(4.10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shd w:fill="FFFFFF" w:val="clear"/>
            <w:tcMar>
              <w:bottom w:w="28" w:type="dxa"/>
            </w:tcMar>
            <w:vAlign w:val="center"/>
          </w:tcPr>
          <w:p>
            <w:pPr>
              <w:pStyle w:val="TableContents"/>
              <w:bidi w:val="0"/>
              <w:spacing w:before="0" w:after="283"/>
              <w:jc w:val="right"/>
              <w:rPr/>
            </w:pPr>
            <w:r>
              <w:rPr/>
              <w:t>(6.38</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double" w:sz="10" w:space="0" w:color="000000"/>
            </w:tcBorders>
            <w:shd w:fill="FFFFFF" w:val="clear"/>
            <w:tcMar>
              <w:bottom w:w="28" w:type="dxa"/>
            </w:tcMar>
            <w:vAlign w:val="center"/>
          </w:tcPr>
          <w:p>
            <w:pPr>
              <w:pStyle w:val="TableContents"/>
              <w:bidi w:val="0"/>
              <w:spacing w:before="0" w:after="283"/>
              <w:jc w:val="right"/>
              <w:rPr/>
            </w:pPr>
            <w:r>
              <w:rPr/>
              <w:t>(0.94</w:t>
            </w:r>
          </w:p>
        </w:tc>
        <w:tc>
          <w:tcPr>
            <w:tcW w:w="120" w:type="dxa"/>
            <w:tcBorders/>
            <w:shd w:fill="FFFFFF" w:val="clear"/>
            <w:vAlign w:val="center"/>
          </w:tcPr>
          <w:p>
            <w:pPr>
              <w:pStyle w:val="TableContents"/>
              <w:bidi w:val="0"/>
              <w:spacing w:before="0" w:after="283"/>
              <w:ind w:left="0" w:right="0" w:hanging="180"/>
              <w:jc w:val="left"/>
              <w:rPr/>
            </w:pPr>
            <w:r>
              <w:rPr/>
              <w:t>)</w:t>
            </w:r>
          </w:p>
        </w:tc>
      </w:tr>
      <w:tr>
        <w:trPr/>
        <w:tc>
          <w:tcPr>
            <w:tcW w:w="3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(75,925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(97,441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(14,361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(134,866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(206,716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(30,466</w:t>
            </w:r>
          </w:p>
        </w:tc>
        <w:tc>
          <w:tcPr>
            <w:tcW w:w="120" w:type="dxa"/>
            <w:tcBorders/>
            <w:shd w:fill="FFFFFF" w:val="clear"/>
            <w:vAlign w:val="center"/>
          </w:tcPr>
          <w:p>
            <w:pPr>
              <w:pStyle w:val="TableContents"/>
              <w:bidi w:val="0"/>
              <w:spacing w:before="0" w:after="283"/>
              <w:ind w:left="0" w:right="0" w:hanging="180"/>
              <w:jc w:val="left"/>
              <w:rPr/>
            </w:pPr>
            <w:r>
              <w:rPr/>
              <w:t>)</w:t>
            </w:r>
          </w:p>
        </w:tc>
      </w:tr>
      <w:tr>
        <w:trPr/>
        <w:tc>
          <w:tcPr>
            <w:tcW w:w="3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b/>
              </w:rPr>
            </w:pPr>
            <w:r>
              <w:rPr>
                <w:b/>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Fair value changes of convertible notes due to instrument-specific credit risk, net of nil income taxes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(286</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144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Foreign currency translation adjustment, net of nil income taxes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2,360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16,156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3,177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34,226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5,044</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(73,851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(81,285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(11,980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(131,545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(172,490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(25,422</w:t>
            </w:r>
          </w:p>
        </w:tc>
        <w:tc>
          <w:tcPr>
            <w:tcW w:w="120" w:type="dxa"/>
            <w:tcBorders/>
            <w:shd w:fill="FFFFFF" w:val="clear"/>
            <w:vAlign w:val="center"/>
          </w:tcPr>
          <w:p>
            <w:pPr>
              <w:pStyle w:val="TableContents"/>
              <w:bidi w:val="0"/>
              <w:spacing w:before="0" w:after="283"/>
              <w:ind w:left="0" w:right="0" w:hanging="180"/>
              <w:jc w:val="left"/>
              <w:rPr/>
            </w:pPr>
            <w:r>
              <w:rPr/>
              <w:t>)</w:t>
            </w:r>
          </w:p>
        </w:tc>
      </w:tr>
      <w:tr>
        <w:trPr/>
        <w:tc>
          <w:tcPr>
            <w:tcW w:w="3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ind w:left="0" w:right="0" w:hanging="180"/>
              <w:jc w:val="left"/>
              <w:rPr/>
            </w:pPr>
            <w:r>
              <w:rPr/>
              <w:t> </w:t>
            </w:r>
          </w:p>
        </w:tc>
      </w:tr>
      <w:tr>
        <w:trPr/>
        <w:tc>
          <w:tcPr>
            <w:tcW w:w="3694" w:type="dxa"/>
            <w:tcBorders/>
            <w:shd w:fill="FFFFFF" w:val="clear"/>
            <w:vAlign w:val="center"/>
          </w:tcPr>
          <w:p>
            <w:pPr>
              <w:pStyle w:val="TableContents"/>
              <w:bidi w:val="0"/>
              <w:spacing w:before="0" w:after="283"/>
              <w:jc w:val="left"/>
              <w:rPr/>
            </w:pPr>
            <w:r>
              <w:rPr/>
              <w:t>Less: Comprehensive (loss)/income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(470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(1,390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649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96</w:t>
            </w:r>
          </w:p>
        </w:tc>
        <w:tc>
          <w:tcPr>
            <w:tcW w:w="120" w:type="dxa"/>
            <w:tcBorders/>
            <w:shd w:fill="FFFFFF" w:val="clear"/>
            <w:vAlign w:val="center"/>
          </w:tcPr>
          <w:p>
            <w:pPr>
              <w:pStyle w:val="TableContents"/>
              <w:bidi w:val="0"/>
              <w:spacing w:before="0" w:after="283"/>
              <w:ind w:left="0" w:right="0" w:hanging="180"/>
              <w:jc w:val="left"/>
              <w:rPr/>
            </w:pPr>
            <w:r>
              <w:rPr/>
              <w:t> </w:t>
            </w:r>
          </w:p>
        </w:tc>
      </w:tr>
      <w:tr>
        <w:trPr/>
        <w:tc>
          <w:tcPr>
            <w:tcW w:w="3694" w:type="dxa"/>
            <w:tcBorders/>
            <w:shd w:fill="CCEEFF" w:val="clear"/>
            <w:vAlign w:val="center"/>
          </w:tcPr>
          <w:p>
            <w:pPr>
              <w:pStyle w:val="TableContents"/>
              <w:bidi w:val="0"/>
              <w:spacing w:before="0" w:after="283"/>
              <w:jc w:val="left"/>
              <w:rPr>
                <w:b/>
              </w:rPr>
            </w:pPr>
            <w:r>
              <w:rPr>
                <w:b/>
              </w:rPr>
              <w:t>Comprehensive loss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(73,381</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(81,313</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(130,155</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(173,139</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(25,518</w:t>
            </w:r>
          </w:p>
        </w:tc>
        <w:tc>
          <w:tcPr>
            <w:tcW w:w="12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66750" cy="704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RMB and US$)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6"/>
        <w:gridCol w:w="60"/>
        <w:gridCol w:w="69"/>
        <w:gridCol w:w="922"/>
        <w:gridCol w:w="109"/>
        <w:gridCol w:w="69"/>
        <w:gridCol w:w="69"/>
        <w:gridCol w:w="922"/>
        <w:gridCol w:w="109"/>
        <w:gridCol w:w="69"/>
        <w:gridCol w:w="69"/>
        <w:gridCol w:w="783"/>
        <w:gridCol w:w="95"/>
        <w:gridCol w:w="60"/>
        <w:gridCol w:w="66"/>
        <w:gridCol w:w="890"/>
        <w:gridCol w:w="105"/>
        <w:gridCol w:w="66"/>
        <w:gridCol w:w="66"/>
        <w:gridCol w:w="890"/>
        <w:gridCol w:w="105"/>
        <w:gridCol w:w="66"/>
        <w:gridCol w:w="66"/>
        <w:gridCol w:w="756"/>
        <w:gridCol w:w="98"/>
      </w:tblGrid>
      <w:tr>
        <w:trPr/>
        <w:tc>
          <w:tcPr>
            <w:tcW w:w="362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98" w:type="dxa"/>
            <w:tcBorders/>
            <w:vAlign w:val="center"/>
          </w:tcPr>
          <w:p>
            <w:pPr>
              <w:pStyle w:val="TableContents"/>
              <w:bidi w:val="0"/>
              <w:spacing w:before="0" w:after="283"/>
              <w:ind w:left="0" w:right="0" w:hanging="180"/>
              <w:jc w:val="left"/>
              <w:rPr/>
            </w:pPr>
            <w:r>
              <w:rPr/>
              <w:t> </w:t>
            </w:r>
          </w:p>
        </w:tc>
      </w:tr>
      <w:tr>
        <w:trPr/>
        <w:tc>
          <w:tcPr>
            <w:tcW w:w="3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0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9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ind w:left="0" w:right="0" w:hanging="180"/>
              <w:jc w:val="left"/>
              <w:rPr/>
            </w:pPr>
            <w:r>
              <w:rPr/>
              <w:t> </w:t>
            </w:r>
          </w:p>
        </w:tc>
      </w:tr>
      <w:tr>
        <w:trPr/>
        <w:tc>
          <w:tcPr>
            <w:tcW w:w="3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8" w:type="dxa"/>
            <w:tcBorders/>
            <w:vAlign w:val="center"/>
          </w:tcPr>
          <w:p>
            <w:pPr>
              <w:pStyle w:val="TableContents"/>
              <w:bidi w:val="0"/>
              <w:spacing w:before="0" w:after="283"/>
              <w:ind w:left="0" w:right="0" w:hanging="180"/>
              <w:jc w:val="left"/>
              <w:rPr/>
            </w:pPr>
            <w:r>
              <w:rPr/>
              <w:t> </w:t>
            </w:r>
          </w:p>
        </w:tc>
      </w:tr>
      <w:tr>
        <w:trPr/>
        <w:tc>
          <w:tcPr>
            <w:tcW w:w="3626" w:type="dxa"/>
            <w:tcBorders/>
            <w:shd w:fill="CCEEFF" w:val="clear"/>
            <w:vAlign w:val="center"/>
          </w:tcPr>
          <w:p>
            <w:pPr>
              <w:pStyle w:val="TableContents"/>
              <w:bidi w:val="0"/>
              <w:spacing w:before="0" w:after="283"/>
              <w:jc w:val="left"/>
              <w:rPr/>
            </w:pPr>
            <w:r>
              <w:rPr/>
              <w:t>Net cash (used in)/provided by operating activities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(1,175</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33,968</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5,006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(1,394</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10,424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1,536</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3626"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(36,715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(9,169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(53,373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(20,641</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(3,042</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3626" w:type="dxa"/>
            <w:tcBorders/>
            <w:shd w:fill="CCEEFF" w:val="clear"/>
            <w:vAlign w:val="center"/>
          </w:tcPr>
          <w:p>
            <w:pPr>
              <w:pStyle w:val="TableContents"/>
              <w:bidi w:val="0"/>
              <w:spacing w:before="0" w:after="283"/>
              <w:jc w:val="left"/>
              <w:rPr/>
            </w:pPr>
            <w:r>
              <w:rPr/>
              <w:t>Net cash (used in)/provided by financing activities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5,900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(13,788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(2,032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50,113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4,633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683</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3626" w:type="dxa"/>
            <w:tcBorders/>
            <w:shd w:fill="FFFFFF" w:val="clear"/>
            <w:vAlign w:val="center"/>
          </w:tcPr>
          <w:p>
            <w:pPr>
              <w:pStyle w:val="TableContents"/>
              <w:bidi w:val="0"/>
              <w:spacing w:before="0" w:after="283"/>
              <w:jc w:val="left"/>
              <w:rPr/>
            </w:pPr>
            <w:r>
              <w:rPr/>
              <w:t>Effect of foreign currency exchange rate changes on cash</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(688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(1,363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(3,072</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(453</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3626" w:type="dxa"/>
            <w:tcBorders/>
            <w:shd w:fill="CCEEFF" w:val="clear"/>
            <w:vAlign w:val="center"/>
          </w:tcPr>
          <w:p>
            <w:pPr>
              <w:pStyle w:val="TableContents"/>
              <w:bidi w:val="0"/>
              <w:spacing w:before="0" w:after="283"/>
              <w:jc w:val="left"/>
              <w:rPr/>
            </w:pPr>
            <w:r>
              <w:rPr/>
              <w:t>Net increase/(decrease) in cash</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(32,678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9,648</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(5,479</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(8,656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(1,276</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3626" w:type="dxa"/>
            <w:tcBorders/>
            <w:shd w:fill="FFFFFF" w:val="clear"/>
            <w:vAlign w:val="center"/>
          </w:tcPr>
          <w:p>
            <w:pPr>
              <w:pStyle w:val="TableContents"/>
              <w:bidi w:val="0"/>
              <w:spacing w:before="0" w:after="283"/>
              <w:jc w:val="left"/>
              <w:rPr/>
            </w:pPr>
            <w:r>
              <w:rPr/>
              <w:t>Cash and cash equivalents and restricted cash, at beginning of the period</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211,436</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111,407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16,419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184,237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129,711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19,117</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3626" w:type="dxa"/>
            <w:tcBorders/>
            <w:shd w:fill="CCEEFF" w:val="clear"/>
            <w:vAlign w:val="center"/>
          </w:tcPr>
          <w:p>
            <w:pPr>
              <w:pStyle w:val="TableContents"/>
              <w:bidi w:val="0"/>
              <w:spacing w:before="0" w:after="283"/>
              <w:jc w:val="left"/>
              <w:rPr>
                <w:b/>
              </w:rPr>
            </w:pPr>
            <w:r>
              <w:rPr>
                <w:b/>
              </w:rPr>
              <w:t>Cash and cash equivalents and restricted cash, at end of the period</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178,758</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121,055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178,758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121,055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17,841</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66750" cy="704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MEASURES TO THE MOST DIRECTLY COMPARABLE GAAP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amounts in thousands of RMB and US$, except for number of shares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Company owned and operated store contribution</w:t>
      </w:r>
    </w:p>
    <w:p>
      <w:pPr>
        <w:pStyle w:val="TextBody"/>
        <w:bidi w:val="0"/>
        <w:spacing w:before="0" w:after="0"/>
        <w:ind w:left="0" w:right="0" w:hanging="0"/>
        <w:jc w:val="left"/>
        <w:rPr>
          <w:caps w:val="false"/>
          <w:smallCaps w:val="false"/>
        </w:rPr>
      </w:pPr>
      <w:r>
        <w:rPr>
          <w:caps w:val="false"/>
          <w:smallCaps w:val="false"/>
        </w:rPr>
        <w:t> </w:t>
      </w:r>
    </w:p>
    <w:tbl>
      <w:tblPr>
        <w:tblW w:w="10860" w:type="dxa"/>
        <w:jc w:val="left"/>
        <w:tblInd w:w="0" w:type="dxa"/>
        <w:tblLayout w:type="fixed"/>
        <w:tblCellMar>
          <w:top w:w="0" w:type="dxa"/>
          <w:left w:w="0" w:type="dxa"/>
          <w:bottom w:w="0" w:type="dxa"/>
          <w:right w:w="0" w:type="dxa"/>
        </w:tblCellMar>
      </w:tblPr>
      <w:tblGrid>
        <w:gridCol w:w="1235"/>
        <w:gridCol w:w="60"/>
        <w:gridCol w:w="60"/>
        <w:gridCol w:w="605"/>
        <w:gridCol w:w="200"/>
        <w:gridCol w:w="60"/>
        <w:gridCol w:w="93"/>
        <w:gridCol w:w="662"/>
        <w:gridCol w:w="200"/>
        <w:gridCol w:w="60"/>
        <w:gridCol w:w="60"/>
        <w:gridCol w:w="605"/>
        <w:gridCol w:w="200"/>
        <w:gridCol w:w="60"/>
        <w:gridCol w:w="60"/>
        <w:gridCol w:w="515"/>
        <w:gridCol w:w="200"/>
        <w:gridCol w:w="60"/>
        <w:gridCol w:w="93"/>
        <w:gridCol w:w="662"/>
        <w:gridCol w:w="200"/>
        <w:gridCol w:w="60"/>
        <w:gridCol w:w="60"/>
        <w:gridCol w:w="665"/>
        <w:gridCol w:w="200"/>
        <w:gridCol w:w="60"/>
        <w:gridCol w:w="93"/>
        <w:gridCol w:w="662"/>
        <w:gridCol w:w="200"/>
        <w:gridCol w:w="60"/>
        <w:gridCol w:w="60"/>
        <w:gridCol w:w="665"/>
        <w:gridCol w:w="200"/>
        <w:gridCol w:w="60"/>
        <w:gridCol w:w="60"/>
        <w:gridCol w:w="575"/>
        <w:gridCol w:w="200"/>
        <w:gridCol w:w="60"/>
        <w:gridCol w:w="93"/>
        <w:gridCol w:w="662"/>
        <w:gridCol w:w="215"/>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5" w:type="dxa"/>
            <w:gridSpan w:val="18"/>
            <w:tcBorders>
              <w:bottom w:val="single" w:sz="12" w:space="0" w:color="000000"/>
            </w:tcBorders>
            <w:tcMar>
              <w:bottom w:w="28" w:type="dxa"/>
            </w:tcMar>
            <w:vAlign w:val="center"/>
          </w:tcPr>
          <w:p>
            <w:pPr>
              <w:pStyle w:val="TableContents"/>
              <w:bidi w:val="0"/>
              <w:spacing w:before="0" w:after="283"/>
              <w:jc w:val="center"/>
              <w:rPr>
                <w:b/>
                <w:sz w:val="18"/>
              </w:rPr>
            </w:pPr>
            <w:r>
              <w:rPr>
                <w:b/>
                <w:sz w:val="18"/>
              </w:rPr>
              <w:t>For the three months ended June 30,</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5" w:type="dxa"/>
            <w:gridSpan w:val="18"/>
            <w:tcBorders>
              <w:bottom w:val="single" w:sz="12" w:space="0" w:color="000000"/>
            </w:tcBorders>
            <w:tcMar>
              <w:bottom w:w="28" w:type="dxa"/>
            </w:tcMar>
            <w:vAlign w:val="center"/>
          </w:tcPr>
          <w:p>
            <w:pPr>
              <w:pStyle w:val="TableContents"/>
              <w:bidi w:val="0"/>
              <w:spacing w:before="0" w:after="283"/>
              <w:jc w:val="center"/>
              <w:rPr>
                <w:b/>
                <w:sz w:val="18"/>
              </w:rPr>
            </w:pPr>
            <w:r>
              <w:rPr>
                <w:b/>
                <w:sz w:val="18"/>
              </w:rPr>
              <w:t>For the six months ended June 30,</w:t>
            </w:r>
          </w:p>
        </w:tc>
        <w:tc>
          <w:tcPr>
            <w:tcW w:w="21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2025</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10"/>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2026</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2025</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10"/>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2026</w:t>
            </w:r>
          </w:p>
        </w:tc>
        <w:tc>
          <w:tcPr>
            <w:tcW w:w="21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w:t>
              <w:br/>
              <w:t>Revenues -</w:t>
              <w:br/>
              <w:t xml:space="preserve">company </w:t>
              <w:br/>
              <w:t>owned and</w:t>
              <w:br/>
              <w:t xml:space="preserve">operated </w:t>
              <w:br/>
              <w:t>stores</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US$</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xml:space="preserve">% of </w:t>
              <w:br/>
              <w:t>Revenues -</w:t>
              <w:br/>
              <w:t xml:space="preserve">company </w:t>
              <w:br/>
              <w:t>owned and</w:t>
              <w:br/>
              <w:t xml:space="preserve">operated </w:t>
              <w:br/>
              <w:t>stores</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xml:space="preserve">% of </w:t>
              <w:br/>
              <w:t>Revenues -</w:t>
              <w:br/>
              <w:t xml:space="preserve">company </w:t>
              <w:br/>
              <w:t>owned and</w:t>
              <w:br/>
              <w:t xml:space="preserve">operated </w:t>
              <w:br/>
              <w:t>stores</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US$</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xml:space="preserve">% of </w:t>
              <w:br/>
              <w:t>Revenues -</w:t>
              <w:br/>
              <w:t xml:space="preserve">company </w:t>
              <w:br/>
              <w:t>owned and</w:t>
              <w:br/>
              <w:t xml:space="preserve">operated </w:t>
              <w:br/>
              <w:t>stores</w:t>
            </w:r>
          </w:p>
        </w:tc>
        <w:tc>
          <w:tcPr>
            <w:tcW w:w="215" w:type="dxa"/>
            <w:tcBorders/>
            <w:vAlign w:val="center"/>
          </w:tcPr>
          <w:p>
            <w:pPr>
              <w:pStyle w:val="TableContents"/>
              <w:bidi w:val="0"/>
              <w:spacing w:before="0" w:after="283"/>
              <w:ind w:left="0" w:right="0" w:hanging="180"/>
              <w:jc w:val="center"/>
              <w:rPr/>
            </w:pPr>
            <w:r>
              <w:rPr/>
              <w:t> </w:t>
            </w:r>
          </w:p>
        </w:tc>
      </w:tr>
      <w:tr>
        <w:trPr/>
        <w:tc>
          <w:tcPr>
            <w:tcW w:w="1235" w:type="dxa"/>
            <w:tcBorders/>
            <w:shd w:fill="CCEEFF" w:val="clear"/>
            <w:vAlign w:val="center"/>
          </w:tcPr>
          <w:p>
            <w:pPr>
              <w:pStyle w:val="TableContents"/>
              <w:bidi w:val="0"/>
              <w:spacing w:before="0" w:after="283"/>
              <w:jc w:val="left"/>
              <w:rPr>
                <w:sz w:val="18"/>
              </w:rPr>
            </w:pPr>
            <w:r>
              <w:rPr>
                <w:sz w:val="18"/>
              </w:rPr>
              <w:t>Revenues - company owned and operated stores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281,872</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100.0</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220,855</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8"/>
              </w:rPr>
            </w:pPr>
            <w:r>
              <w:rPr>
                <w:sz w:val="18"/>
              </w:rPr>
              <w:t>32,550</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100.0</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536,631</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100.0</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428,071</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63,090</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100.0</w:t>
            </w:r>
          </w:p>
        </w:tc>
        <w:tc>
          <w:tcPr>
            <w:tcW w:w="21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sz w:val="18"/>
              </w:rPr>
            </w:pPr>
            <w:r>
              <w:rPr>
                <w:sz w:val="18"/>
              </w:rPr>
              <w:t>Food and packaging costs - company owned and operated stores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(84,807</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(30.1</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(62,495</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8"/>
              </w:rPr>
            </w:pPr>
            <w:r>
              <w:rPr>
                <w:sz w:val="18"/>
              </w:rPr>
              <w:t>(9,211</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(28.3</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8"/>
              </w:rPr>
            </w:pPr>
            <w:r>
              <w:rPr>
                <w:sz w:val="18"/>
              </w:rPr>
              <w:t>(162,279</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(30.2</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8"/>
              </w:rPr>
            </w:pPr>
            <w:r>
              <w:rPr>
                <w:sz w:val="18"/>
              </w:rPr>
              <w:t>(121,427</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(17,896</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(28.4</w:t>
            </w:r>
          </w:p>
        </w:tc>
        <w:tc>
          <w:tcPr>
            <w:tcW w:w="215" w:type="dxa"/>
            <w:tcBorders/>
            <w:shd w:fill="FFFFFF" w:val="clear"/>
            <w:vAlign w:val="center"/>
          </w:tcPr>
          <w:p>
            <w:pPr>
              <w:pStyle w:val="TableContents"/>
              <w:bidi w:val="0"/>
              <w:spacing w:before="0" w:after="283"/>
              <w:ind w:left="0" w:right="0" w:hanging="180"/>
              <w:jc w:val="left"/>
              <w:rPr>
                <w:sz w:val="18"/>
              </w:rPr>
            </w:pPr>
            <w:r>
              <w:rPr>
                <w:sz w:val="18"/>
              </w:rPr>
              <w:t>)</w:t>
            </w:r>
          </w:p>
        </w:tc>
      </w:tr>
      <w:tr>
        <w:trPr/>
        <w:tc>
          <w:tcPr>
            <w:tcW w:w="1235" w:type="dxa"/>
            <w:tcBorders/>
            <w:shd w:fill="CCEEFF" w:val="clear"/>
            <w:vAlign w:val="center"/>
          </w:tcPr>
          <w:p>
            <w:pPr>
              <w:pStyle w:val="TableContents"/>
              <w:bidi w:val="0"/>
              <w:spacing w:before="0" w:after="283"/>
              <w:jc w:val="left"/>
              <w:rPr>
                <w:sz w:val="18"/>
              </w:rPr>
            </w:pPr>
            <w:r>
              <w:rPr>
                <w:sz w:val="18"/>
              </w:rPr>
              <w:t>Rental expenses - company owned and operated stores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(56,824</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(20.2</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(47,943</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8"/>
              </w:rPr>
            </w:pPr>
            <w:r>
              <w:rPr>
                <w:sz w:val="18"/>
              </w:rPr>
              <w:t>(7,066</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(21.7</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(113,119</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(21.1</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(95,142</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(14,022</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(22.2</w:t>
            </w:r>
          </w:p>
        </w:tc>
        <w:tc>
          <w:tcPr>
            <w:tcW w:w="215"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1235" w:type="dxa"/>
            <w:tcBorders/>
            <w:shd w:fill="FFFFFF" w:val="clear"/>
            <w:vAlign w:val="center"/>
          </w:tcPr>
          <w:p>
            <w:pPr>
              <w:pStyle w:val="TableContents"/>
              <w:bidi w:val="0"/>
              <w:spacing w:before="0" w:after="283"/>
              <w:jc w:val="left"/>
              <w:rPr>
                <w:sz w:val="18"/>
              </w:rPr>
            </w:pPr>
            <w:r>
              <w:rPr>
                <w:sz w:val="18"/>
              </w:rPr>
              <w:t>Payroll and employee benefits - company owned and operated stores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(50,227</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(17.8</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(43,882</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8"/>
              </w:rPr>
            </w:pPr>
            <w:r>
              <w:rPr>
                <w:sz w:val="18"/>
              </w:rPr>
              <w:t>(6,467</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(19.9</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8"/>
              </w:rPr>
            </w:pPr>
            <w:r>
              <w:rPr>
                <w:sz w:val="18"/>
              </w:rPr>
              <w:t>(100,247</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(18.7</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8"/>
              </w:rPr>
            </w:pPr>
            <w:r>
              <w:rPr>
                <w:sz w:val="18"/>
              </w:rPr>
              <w:t>(88,700</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(13,073</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(20.7</w:t>
            </w:r>
          </w:p>
        </w:tc>
        <w:tc>
          <w:tcPr>
            <w:tcW w:w="215" w:type="dxa"/>
            <w:tcBorders/>
            <w:shd w:fill="FFFFFF" w:val="clear"/>
            <w:vAlign w:val="center"/>
          </w:tcPr>
          <w:p>
            <w:pPr>
              <w:pStyle w:val="TableContents"/>
              <w:bidi w:val="0"/>
              <w:spacing w:before="0" w:after="283"/>
              <w:ind w:left="0" w:right="0" w:hanging="180"/>
              <w:jc w:val="left"/>
              <w:rPr>
                <w:sz w:val="18"/>
              </w:rPr>
            </w:pPr>
            <w:r>
              <w:rPr>
                <w:sz w:val="18"/>
              </w:rPr>
              <w:t>)</w:t>
            </w:r>
          </w:p>
        </w:tc>
      </w:tr>
      <w:tr>
        <w:trPr/>
        <w:tc>
          <w:tcPr>
            <w:tcW w:w="1235" w:type="dxa"/>
            <w:tcBorders/>
            <w:shd w:fill="CCEEFF" w:val="clear"/>
            <w:vAlign w:val="center"/>
          </w:tcPr>
          <w:p>
            <w:pPr>
              <w:pStyle w:val="TableContents"/>
              <w:bidi w:val="0"/>
              <w:spacing w:before="0" w:after="283"/>
              <w:jc w:val="left"/>
              <w:rPr>
                <w:sz w:val="18"/>
              </w:rPr>
            </w:pPr>
            <w:r>
              <w:rPr>
                <w:sz w:val="18"/>
              </w:rPr>
              <w:t>Delivery costs - company owned and operated stores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(33,338</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(11.8</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(28,912</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8"/>
              </w:rPr>
            </w:pPr>
            <w:r>
              <w:rPr>
                <w:sz w:val="18"/>
              </w:rPr>
              <w:t>(4,262</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(13.1</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(60,379</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(11.3</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(56,235</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(8,287</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(13.1</w:t>
            </w:r>
          </w:p>
        </w:tc>
        <w:tc>
          <w:tcPr>
            <w:tcW w:w="215"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1235" w:type="dxa"/>
            <w:tcBorders/>
            <w:shd w:fill="FFFFFF" w:val="clear"/>
            <w:vAlign w:val="center"/>
          </w:tcPr>
          <w:p>
            <w:pPr>
              <w:pStyle w:val="TableContents"/>
              <w:bidi w:val="0"/>
              <w:spacing w:before="0" w:after="283"/>
              <w:jc w:val="left"/>
              <w:rPr>
                <w:sz w:val="18"/>
              </w:rPr>
            </w:pPr>
            <w:r>
              <w:rPr>
                <w:sz w:val="18"/>
              </w:rPr>
              <w:t>Other operating expenses - company owned and operated stores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(20,424</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(7.2</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(17,425</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8"/>
              </w:rPr>
            </w:pPr>
            <w:r>
              <w:rPr>
                <w:sz w:val="18"/>
              </w:rPr>
              <w:t>(2,568</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(7.9</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8"/>
              </w:rPr>
            </w:pPr>
            <w:r>
              <w:rPr>
                <w:sz w:val="18"/>
              </w:rPr>
              <w:t>(38,442</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(7.2</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8"/>
              </w:rPr>
            </w:pPr>
            <w:r>
              <w:rPr>
                <w:sz w:val="18"/>
              </w:rPr>
              <w:t>(35,605</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(5,248</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sz w:val="18"/>
              </w:rPr>
            </w:pPr>
            <w:r>
              <w:rPr>
                <w:sz w:val="18"/>
              </w:rPr>
              <w:t>(8.3</w:t>
            </w:r>
          </w:p>
        </w:tc>
        <w:tc>
          <w:tcPr>
            <w:tcW w:w="215" w:type="dxa"/>
            <w:tcBorders/>
            <w:shd w:fill="FFFFFF" w:val="clear"/>
            <w:vAlign w:val="center"/>
          </w:tcPr>
          <w:p>
            <w:pPr>
              <w:pStyle w:val="TableContents"/>
              <w:bidi w:val="0"/>
              <w:spacing w:before="0" w:after="283"/>
              <w:ind w:left="0" w:right="0" w:hanging="180"/>
              <w:jc w:val="left"/>
              <w:rPr>
                <w:sz w:val="18"/>
              </w:rPr>
            </w:pPr>
            <w:r>
              <w:rPr>
                <w:sz w:val="18"/>
              </w:rPr>
              <w:t>)</w:t>
            </w:r>
          </w:p>
        </w:tc>
      </w:tr>
      <w:tr>
        <w:trPr/>
        <w:tc>
          <w:tcPr>
            <w:tcW w:w="1235" w:type="dxa"/>
            <w:tcBorders/>
            <w:shd w:fill="CCEEFF" w:val="clear"/>
            <w:vAlign w:val="center"/>
          </w:tcPr>
          <w:p>
            <w:pPr>
              <w:pStyle w:val="TableContents"/>
              <w:bidi w:val="0"/>
              <w:spacing w:before="0" w:after="283"/>
              <w:jc w:val="left"/>
              <w:rPr>
                <w:sz w:val="18"/>
              </w:rPr>
            </w:pPr>
            <w:r>
              <w:rPr>
                <w:sz w:val="18"/>
              </w:rPr>
              <w:t>Store 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(26,789</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(9.5</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(20,406</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8"/>
              </w:rPr>
            </w:pPr>
            <w:r>
              <w:rPr>
                <w:sz w:val="18"/>
              </w:rPr>
              <w:t>(3,007</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(9.2</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(55,147</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(10.3</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8"/>
              </w:rPr>
            </w:pPr>
            <w:r>
              <w:rPr>
                <w:sz w:val="18"/>
              </w:rPr>
              <w:t>(41,992</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(6,189</w:t>
            </w:r>
          </w:p>
        </w:tc>
        <w:tc>
          <w:tcPr>
            <w:tcW w:w="20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sz w:val="18"/>
              </w:rPr>
            </w:pPr>
            <w:r>
              <w:rPr>
                <w:sz w:val="18"/>
              </w:rPr>
              <w:t>(9.8</w:t>
            </w:r>
          </w:p>
        </w:tc>
        <w:tc>
          <w:tcPr>
            <w:tcW w:w="215"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1235" w:type="dxa"/>
            <w:tcBorders/>
            <w:shd w:fill="FFFFFF" w:val="clear"/>
            <w:vAlign w:val="center"/>
          </w:tcPr>
          <w:p>
            <w:pPr>
              <w:pStyle w:val="TableContents"/>
              <w:bidi w:val="0"/>
              <w:spacing w:before="0" w:after="283"/>
              <w:jc w:val="left"/>
              <w:rPr>
                <w:sz w:val="18"/>
              </w:rPr>
            </w:pPr>
            <w:r>
              <w:rPr>
                <w:sz w:val="18"/>
              </w:rPr>
              <w:t>Franchise and royalty expenses - company owned and operated stores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(9,076</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(3.3</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(7,614</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(1,122</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(3.4</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(17,835</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(3.2</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(14,648</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(2,159</w:t>
            </w:r>
          </w:p>
        </w:tc>
        <w:tc>
          <w:tcPr>
            <w:tcW w:w="20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(3.5</w:t>
            </w:r>
          </w:p>
        </w:tc>
        <w:tc>
          <w:tcPr>
            <w:tcW w:w="215" w:type="dxa"/>
            <w:tcBorders/>
            <w:shd w:fill="FFFFFF" w:val="clear"/>
            <w:vAlign w:val="center"/>
          </w:tcPr>
          <w:p>
            <w:pPr>
              <w:pStyle w:val="TableContents"/>
              <w:bidi w:val="0"/>
              <w:spacing w:before="0" w:after="283"/>
              <w:ind w:left="0" w:right="0" w:hanging="180"/>
              <w:jc w:val="left"/>
              <w:rPr>
                <w:sz w:val="18"/>
              </w:rPr>
            </w:pPr>
            <w:r>
              <w:rPr>
                <w:sz w:val="18"/>
              </w:rPr>
              <w:t>)</w:t>
            </w:r>
          </w:p>
        </w:tc>
      </w:tr>
      <w:tr>
        <w:trPr/>
        <w:tc>
          <w:tcPr>
            <w:tcW w:w="1235" w:type="dxa"/>
            <w:tcBorders/>
            <w:shd w:fill="CCEEFF" w:val="clear"/>
            <w:vAlign w:val="center"/>
          </w:tcPr>
          <w:p>
            <w:pPr>
              <w:pStyle w:val="TableContents"/>
              <w:bidi w:val="0"/>
              <w:spacing w:before="0" w:after="283"/>
              <w:jc w:val="left"/>
              <w:rPr>
                <w:b/>
                <w:sz w:val="18"/>
              </w:rPr>
            </w:pPr>
            <w:r>
              <w:rPr>
                <w:b/>
                <w:sz w:val="18"/>
              </w:rPr>
              <w:t>Fully-burdened gross (loss) profit - company owned and operated stores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8"/>
              </w:rPr>
            </w:pPr>
            <w:r>
              <w:rPr>
                <w:b/>
                <w:sz w:val="18"/>
              </w:rPr>
              <w:t>387</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0.1</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8"/>
              </w:rPr>
            </w:pPr>
            <w:r>
              <w:rPr>
                <w:b/>
                <w:sz w:val="18"/>
              </w:rPr>
              <w:t>(7,822</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b/>
                <w:sz w:val="18"/>
              </w:rPr>
            </w:pPr>
            <w:r>
              <w:rPr>
                <w:b/>
                <w:sz w:val="18"/>
              </w:rPr>
              <w:t>(1,153</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(3.5</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8"/>
              </w:rPr>
            </w:pPr>
            <w:r>
              <w:rPr>
                <w:b/>
                <w:sz w:val="18"/>
              </w:rPr>
              <w:t>(10,817</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(2.0</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8"/>
              </w:rPr>
            </w:pPr>
            <w:r>
              <w:rPr>
                <w:b/>
                <w:sz w:val="18"/>
              </w:rPr>
              <w:t>(25,678</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b/>
                <w:sz w:val="18"/>
              </w:rPr>
            </w:pPr>
            <w:r>
              <w:rPr>
                <w:b/>
                <w:sz w:val="18"/>
              </w:rPr>
              <w:t>(3,784</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(6.0</w:t>
            </w:r>
          </w:p>
        </w:tc>
        <w:tc>
          <w:tcPr>
            <w:tcW w:w="215" w:type="dxa"/>
            <w:tcBorders/>
            <w:shd w:fill="CCEEFF" w:val="clear"/>
            <w:vAlign w:val="center"/>
          </w:tcPr>
          <w:p>
            <w:pPr>
              <w:pStyle w:val="TableContents"/>
              <w:bidi w:val="0"/>
              <w:spacing w:before="0" w:after="283"/>
              <w:ind w:left="0" w:right="0" w:hanging="180"/>
              <w:jc w:val="left"/>
              <w:rPr>
                <w:b/>
                <w:sz w:val="18"/>
              </w:rPr>
            </w:pPr>
            <w:r>
              <w:rPr>
                <w:b/>
                <w:sz w:val="18"/>
              </w:rPr>
              <w:t>)</w:t>
            </w:r>
          </w:p>
        </w:tc>
      </w:tr>
      <w:tr>
        <w:trPr/>
        <w:tc>
          <w:tcPr>
            <w:tcW w:w="1235" w:type="dxa"/>
            <w:tcBorders/>
            <w:shd w:fill="FFFFFF" w:val="clear"/>
            <w:vAlign w:val="center"/>
          </w:tcPr>
          <w:p>
            <w:pPr>
              <w:pStyle w:val="TableContents"/>
              <w:bidi w:val="0"/>
              <w:spacing w:before="0" w:after="283"/>
              <w:jc w:val="left"/>
              <w:rPr>
                <w:sz w:val="18"/>
              </w:rPr>
            </w:pPr>
            <w:r>
              <w:rPr>
                <w:sz w:val="18"/>
              </w:rPr>
              <w:t>Store 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26,789</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9.5</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20,406</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3,007</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9.2</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55,147</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10.3</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41,992</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6,189</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9.8</w:t>
            </w:r>
          </w:p>
        </w:tc>
        <w:tc>
          <w:tcPr>
            <w:tcW w:w="21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b/>
                <w:sz w:val="18"/>
              </w:rPr>
            </w:pPr>
            <w:r>
              <w:rPr>
                <w:b/>
                <w:sz w:val="18"/>
              </w:rPr>
              <w:t>Company owned and operated store contribution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b/>
                <w:sz w:val="18"/>
              </w:rPr>
            </w:pPr>
            <w:r>
              <w:rPr>
                <w:b/>
                <w:sz w:val="18"/>
              </w:rPr>
              <w:t>27,176</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b/>
                <w:sz w:val="18"/>
              </w:rPr>
            </w:pPr>
            <w:r>
              <w:rPr>
                <w:b/>
                <w:sz w:val="18"/>
              </w:rPr>
              <w:t>9.6</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b/>
                <w:sz w:val="18"/>
              </w:rPr>
            </w:pPr>
            <w:r>
              <w:rPr>
                <w:b/>
                <w:sz w:val="18"/>
              </w:rPr>
              <w:t>12,584</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b/>
                <w:sz w:val="18"/>
              </w:rPr>
            </w:pPr>
            <w:r>
              <w:rPr>
                <w:b/>
                <w:sz w:val="18"/>
              </w:rPr>
              <w:t>1,854</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b/>
                <w:sz w:val="18"/>
              </w:rPr>
            </w:pPr>
            <w:r>
              <w:rPr>
                <w:b/>
                <w:sz w:val="18"/>
              </w:rPr>
              <w:t>5.7</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b/>
                <w:sz w:val="18"/>
              </w:rPr>
            </w:pPr>
            <w:r>
              <w:rPr>
                <w:b/>
                <w:sz w:val="18"/>
              </w:rPr>
              <w:t>44,330</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b/>
                <w:sz w:val="18"/>
              </w:rPr>
            </w:pPr>
            <w:r>
              <w:rPr>
                <w:b/>
                <w:sz w:val="18"/>
              </w:rPr>
              <w:t>8.3</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b/>
                <w:sz w:val="18"/>
              </w:rPr>
            </w:pPr>
            <w:r>
              <w:rPr>
                <w:b/>
                <w:sz w:val="18"/>
              </w:rPr>
              <w:t>16,314</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8"/>
              </w:rPr>
            </w:pPr>
            <w:r>
              <w:rPr>
                <w:b/>
                <w:sz w:val="18"/>
              </w:rPr>
              <w:t>2,405</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b/>
                <w:sz w:val="18"/>
              </w:rPr>
            </w:pPr>
            <w:r>
              <w:rPr>
                <w:b/>
                <w:sz w:val="18"/>
              </w:rPr>
              <w:t>3.8</w:t>
            </w:r>
          </w:p>
        </w:tc>
        <w:tc>
          <w:tcPr>
            <w:tcW w:w="21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b/>
                <w:sz w:val="18"/>
              </w:rPr>
            </w:pPr>
            <w:r>
              <w:rPr>
                <w:b/>
                <w:sz w:val="18"/>
              </w:rPr>
              <w:t>Company owned and operated store contribution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8"/>
              </w:rPr>
            </w:pPr>
            <w:r>
              <w:rPr>
                <w:b/>
                <w:sz w:val="18"/>
              </w:rPr>
              <w:t>9.6</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9.6</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8"/>
              </w:rPr>
            </w:pPr>
            <w:r>
              <w:rPr>
                <w:b/>
                <w:sz w:val="18"/>
              </w:rPr>
              <w:t>5.7</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b/>
                <w:sz w:val="18"/>
              </w:rPr>
            </w:pPr>
            <w:r>
              <w:rPr>
                <w:b/>
                <w:sz w:val="18"/>
              </w:rPr>
              <w:t>5.7</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5.7</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8"/>
              </w:rPr>
            </w:pPr>
            <w:r>
              <w:rPr>
                <w:b/>
                <w:sz w:val="18"/>
              </w:rPr>
              <w:t>8.3</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8.3</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8"/>
              </w:rPr>
            </w:pPr>
            <w:r>
              <w:rPr>
                <w:b/>
                <w:sz w:val="18"/>
              </w:rPr>
              <w:t>3.8</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b/>
                <w:sz w:val="18"/>
              </w:rPr>
            </w:pPr>
            <w:r>
              <w:rPr>
                <w:b/>
                <w:sz w:val="18"/>
              </w:rPr>
              <w:t>3.8</w:t>
            </w:r>
          </w:p>
        </w:tc>
        <w:tc>
          <w:tcPr>
            <w:tcW w:w="20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b/>
                <w:sz w:val="18"/>
              </w:rPr>
            </w:pPr>
            <w:r>
              <w:rPr>
                <w:b/>
                <w:sz w:val="18"/>
              </w:rPr>
              <w:t>3.8</w:t>
            </w:r>
          </w:p>
        </w:tc>
        <w:tc>
          <w:tcPr>
            <w:tcW w:w="215" w:type="dxa"/>
            <w:tcBorders/>
            <w:shd w:fill="CCEEFF" w:val="clear"/>
            <w:vAlign w:val="center"/>
          </w:tcPr>
          <w:p>
            <w:pPr>
              <w:pStyle w:val="TableContents"/>
              <w:bidi w:val="0"/>
              <w:spacing w:before="0" w:after="283"/>
              <w:jc w:val="left"/>
              <w:rPr>
                <w:b/>
                <w:sz w:val="18"/>
              </w:rPr>
            </w:pPr>
            <w:r>
              <w:rPr>
                <w:b/>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Adjusted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1"/>
        <w:gridCol w:w="60"/>
        <w:gridCol w:w="60"/>
        <w:gridCol w:w="575"/>
        <w:gridCol w:w="80"/>
        <w:gridCol w:w="60"/>
        <w:gridCol w:w="116"/>
        <w:gridCol w:w="770"/>
        <w:gridCol w:w="80"/>
        <w:gridCol w:w="60"/>
        <w:gridCol w:w="60"/>
        <w:gridCol w:w="575"/>
        <w:gridCol w:w="80"/>
        <w:gridCol w:w="60"/>
        <w:gridCol w:w="60"/>
        <w:gridCol w:w="485"/>
        <w:gridCol w:w="80"/>
        <w:gridCol w:w="60"/>
        <w:gridCol w:w="116"/>
        <w:gridCol w:w="770"/>
        <w:gridCol w:w="80"/>
        <w:gridCol w:w="60"/>
        <w:gridCol w:w="60"/>
        <w:gridCol w:w="575"/>
        <w:gridCol w:w="80"/>
        <w:gridCol w:w="60"/>
        <w:gridCol w:w="116"/>
        <w:gridCol w:w="770"/>
        <w:gridCol w:w="80"/>
        <w:gridCol w:w="60"/>
        <w:gridCol w:w="60"/>
        <w:gridCol w:w="575"/>
        <w:gridCol w:w="80"/>
        <w:gridCol w:w="60"/>
        <w:gridCol w:w="60"/>
        <w:gridCol w:w="575"/>
        <w:gridCol w:w="80"/>
        <w:gridCol w:w="60"/>
        <w:gridCol w:w="116"/>
        <w:gridCol w:w="770"/>
        <w:gridCol w:w="100"/>
      </w:tblGrid>
      <w:tr>
        <w:trPr/>
        <w:tc>
          <w:tcPr>
            <w:tcW w:w="152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147" w:type="dxa"/>
            <w:gridSpan w:val="18"/>
            <w:tcBorders>
              <w:bottom w:val="single" w:sz="12" w:space="0" w:color="000000"/>
            </w:tcBorders>
            <w:tcMar>
              <w:bottom w:w="28" w:type="dxa"/>
            </w:tcMar>
            <w:vAlign w:val="center"/>
          </w:tcPr>
          <w:p>
            <w:pPr>
              <w:pStyle w:val="TableContents"/>
              <w:bidi w:val="0"/>
              <w:spacing w:before="0" w:after="283"/>
              <w:jc w:val="center"/>
              <w:rPr>
                <w:b/>
                <w:sz w:val="18"/>
              </w:rPr>
            </w:pPr>
            <w:r>
              <w:rPr>
                <w:b/>
                <w:sz w:val="18"/>
              </w:rPr>
              <w:t>For the 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37" w:type="dxa"/>
            <w:gridSpan w:val="18"/>
            <w:tcBorders>
              <w:bottom w:val="single" w:sz="12" w:space="0" w:color="000000"/>
            </w:tcBorders>
            <w:tcMar>
              <w:bottom w:w="28" w:type="dxa"/>
            </w:tcMar>
            <w:vAlign w:val="center"/>
          </w:tcPr>
          <w:p>
            <w:pPr>
              <w:pStyle w:val="TableContents"/>
              <w:bidi w:val="0"/>
              <w:spacing w:before="0" w:after="283"/>
              <w:jc w:val="center"/>
              <w:rPr/>
            </w:pPr>
            <w:r>
              <w:rPr>
                <w:b/>
                <w:sz w:val="18"/>
              </w:rPr>
              <w:t>For the six months ended June 30</w:t>
            </w:r>
            <w:r>
              <w:rPr>
                <w:b/>
                <w:sz w:val="18"/>
              </w:rPr>
              <w:t>，</w:t>
            </w:r>
          </w:p>
        </w:tc>
        <w:tc>
          <w:tcPr>
            <w:tcW w:w="100" w:type="dxa"/>
            <w:tcBorders/>
            <w:vAlign w:val="center"/>
          </w:tcPr>
          <w:p>
            <w:pPr>
              <w:pStyle w:val="TableContents"/>
              <w:bidi w:val="0"/>
              <w:spacing w:before="0" w:after="283"/>
              <w:ind w:left="0" w:right="0" w:hanging="180"/>
              <w:jc w:val="left"/>
              <w:rPr/>
            </w:pPr>
            <w:r>
              <w:rPr/>
              <w:t> </w:t>
            </w:r>
          </w:p>
        </w:tc>
      </w:tr>
      <w:tr>
        <w:trPr/>
        <w:tc>
          <w:tcPr>
            <w:tcW w:w="1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1"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10"/>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1"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6" w:type="dxa"/>
            <w:gridSpan w:val="10"/>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2026</w:t>
            </w:r>
          </w:p>
        </w:tc>
        <w:tc>
          <w:tcPr>
            <w:tcW w:w="100" w:type="dxa"/>
            <w:tcBorders/>
            <w:vAlign w:val="center"/>
          </w:tcPr>
          <w:p>
            <w:pPr>
              <w:pStyle w:val="TableContents"/>
              <w:bidi w:val="0"/>
              <w:spacing w:before="0" w:after="283"/>
              <w:ind w:left="0" w:right="0" w:hanging="180"/>
              <w:jc w:val="left"/>
              <w:rPr/>
            </w:pPr>
            <w:r>
              <w:rPr/>
              <w:t> </w:t>
            </w:r>
          </w:p>
        </w:tc>
      </w:tr>
      <w:tr>
        <w:trPr/>
        <w:tc>
          <w:tcPr>
            <w:tcW w:w="1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 Total Revenues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 Total Revenues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 Total Revenues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 of Total Revenues</w:t>
            </w:r>
          </w:p>
        </w:tc>
        <w:tc>
          <w:tcPr>
            <w:tcW w:w="100" w:type="dxa"/>
            <w:tcBorders/>
            <w:vAlign w:val="center"/>
          </w:tcPr>
          <w:p>
            <w:pPr>
              <w:pStyle w:val="TableContents"/>
              <w:bidi w:val="0"/>
              <w:spacing w:before="0" w:after="283"/>
              <w:ind w:left="0" w:right="0" w:hanging="180"/>
              <w:jc w:val="left"/>
              <w:rPr/>
            </w:pPr>
            <w:r>
              <w:rPr/>
              <w:t> </w:t>
            </w:r>
          </w:p>
        </w:tc>
      </w:tr>
      <w:tr>
        <w:trPr/>
        <w:tc>
          <w:tcPr>
            <w:tcW w:w="1521" w:type="dxa"/>
            <w:tcBorders/>
            <w:shd w:fill="CCEEFF" w:val="clear"/>
            <w:vAlign w:val="center"/>
          </w:tcPr>
          <w:p>
            <w:pPr>
              <w:pStyle w:val="TableContents"/>
              <w:bidi w:val="0"/>
              <w:spacing w:before="0" w:after="283"/>
              <w:jc w:val="left"/>
              <w:rPr>
                <w:sz w:val="18"/>
              </w:rPr>
            </w:pPr>
            <w:r>
              <w:rPr>
                <w:sz w:val="18"/>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(37,698</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(10.8</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(42,261</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18"/>
              </w:rPr>
            </w:pPr>
            <w:r>
              <w:rPr>
                <w:sz w:val="18"/>
              </w:rPr>
              <w:t>(6,229</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(15.5</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(89,508</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(13.9</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(90,305</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(13,311</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(17.0</w:t>
            </w:r>
          </w:p>
        </w:tc>
        <w:tc>
          <w:tcPr>
            <w:tcW w:w="100"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1521" w:type="dxa"/>
            <w:tcBorders/>
            <w:shd w:fill="FFFFFF" w:val="clear"/>
            <w:vAlign w:val="center"/>
          </w:tcPr>
          <w:p>
            <w:pPr>
              <w:pStyle w:val="TableContents"/>
              <w:bidi w:val="0"/>
              <w:spacing w:before="0" w:after="283"/>
              <w:jc w:val="left"/>
              <w:rPr>
                <w:sz w:val="18"/>
              </w:rPr>
            </w:pPr>
            <w:r>
              <w:rPr>
                <w:sz w:val="18"/>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1521" w:type="dxa"/>
            <w:tcBorders/>
            <w:shd w:fill="CCEEFF" w:val="clear"/>
            <w:vAlign w:val="center"/>
          </w:tcPr>
          <w:p>
            <w:pPr>
              <w:pStyle w:val="TableContents"/>
              <w:bidi w:val="0"/>
              <w:spacing w:before="0" w:after="283"/>
              <w:jc w:val="left"/>
              <w:rPr>
                <w:sz w:val="18"/>
              </w:rPr>
            </w:pPr>
            <w:r>
              <w:rPr>
                <w:sz w:val="18"/>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18"/>
              </w:rPr>
            </w:pPr>
            <w:r>
              <w:rPr>
                <w:sz w:val="18"/>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1,825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1,836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8"/>
              </w:rPr>
            </w:pPr>
            <w:r>
              <w:rPr>
                <w:sz w:val="18"/>
              </w:rPr>
              <w:t>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0.3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1521" w:type="dxa"/>
            <w:tcBorders/>
            <w:shd w:fill="FFFFFF" w:val="clear"/>
            <w:vAlign w:val="center"/>
          </w:tcPr>
          <w:p>
            <w:pPr>
              <w:pStyle w:val="TableContents"/>
              <w:bidi w:val="0"/>
              <w:spacing w:before="0" w:after="283"/>
              <w:jc w:val="left"/>
              <w:rPr>
                <w:sz w:val="18"/>
              </w:rPr>
            </w:pPr>
            <w:r>
              <w:rPr>
                <w:sz w:val="18"/>
              </w:rPr>
              <w:t>Professional fees related to financing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1,007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sz w:val="18"/>
              </w:rPr>
            </w:pPr>
            <w:r>
              <w:rPr>
                <w:sz w:val="18"/>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1521" w:type="dxa"/>
            <w:tcBorders/>
            <w:shd w:fill="CCEEFF" w:val="clear"/>
            <w:vAlign w:val="center"/>
          </w:tcPr>
          <w:p>
            <w:pPr>
              <w:pStyle w:val="TableContents"/>
              <w:bidi w:val="0"/>
              <w:spacing w:before="0" w:after="283"/>
              <w:jc w:val="left"/>
              <w:rPr>
                <w:sz w:val="18"/>
              </w:rPr>
            </w:pPr>
            <w:r>
              <w:rPr>
                <w:sz w:val="18"/>
              </w:rPr>
              <w:t>Impairment losses of rental deposits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4,896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5,440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1521" w:type="dxa"/>
            <w:tcBorders/>
            <w:shd w:fill="FFFFFF" w:val="clear"/>
            <w:vAlign w:val="center"/>
          </w:tcPr>
          <w:p>
            <w:pPr>
              <w:pStyle w:val="TableContents"/>
              <w:bidi w:val="0"/>
              <w:spacing w:before="0" w:after="283"/>
              <w:jc w:val="left"/>
              <w:rPr>
                <w:b/>
                <w:sz w:val="18"/>
              </w:rPr>
            </w:pPr>
            <w:r>
              <w:rPr>
                <w:b/>
                <w:sz w:val="18"/>
              </w:rPr>
              <w:t>Adjusted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8"/>
              </w:rPr>
            </w:pPr>
            <w:r>
              <w:rPr>
                <w:b/>
                <w:sz w:val="18"/>
              </w:rPr>
              <w:t>(34,614</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b/>
                <w:sz w:val="18"/>
              </w:rPr>
            </w:pPr>
            <w:r>
              <w:rPr>
                <w:b/>
                <w:sz w:val="18"/>
              </w:rPr>
              <w:t>(9.9</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8"/>
              </w:rPr>
            </w:pPr>
            <w:r>
              <w:rPr>
                <w:b/>
                <w:sz w:val="18"/>
              </w:rPr>
              <w:t>(39,594</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b/>
                <w:sz w:val="18"/>
              </w:rPr>
            </w:pPr>
            <w:r>
              <w:rPr>
                <w:b/>
                <w:sz w:val="18"/>
              </w:rPr>
              <w:t>(5,836</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b/>
                <w:sz w:val="18"/>
              </w:rPr>
            </w:pPr>
            <w:r>
              <w:rPr>
                <w:b/>
                <w:sz w:val="18"/>
              </w:rPr>
              <w:t>(14.5</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8"/>
              </w:rPr>
            </w:pPr>
            <w:r>
              <w:rPr>
                <w:b/>
                <w:sz w:val="18"/>
              </w:rPr>
              <w:t>(81,780</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b/>
                <w:sz w:val="18"/>
              </w:rPr>
            </w:pPr>
            <w:r>
              <w:rPr>
                <w:b/>
                <w:sz w:val="18"/>
              </w:rPr>
              <w:t>(12.6</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8"/>
              </w:rPr>
            </w:pPr>
            <w:r>
              <w:rPr>
                <w:b/>
                <w:sz w:val="18"/>
              </w:rPr>
              <w:t>(83,029</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8"/>
              </w:rPr>
            </w:pPr>
            <w:r>
              <w:rPr>
                <w:b/>
                <w:sz w:val="18"/>
              </w:rPr>
              <w:t>(12,238</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b/>
                <w:sz w:val="18"/>
              </w:rPr>
            </w:pPr>
            <w:r>
              <w:rPr>
                <w:b/>
                <w:sz w:val="18"/>
              </w:rPr>
              <w:t>(15.7</w:t>
            </w:r>
          </w:p>
        </w:tc>
        <w:tc>
          <w:tcPr>
            <w:tcW w:w="100" w:type="dxa"/>
            <w:tcBorders/>
            <w:shd w:fill="FFFFFF" w:val="clear"/>
            <w:vAlign w:val="center"/>
          </w:tcPr>
          <w:p>
            <w:pPr>
              <w:pStyle w:val="TableContents"/>
              <w:bidi w:val="0"/>
              <w:spacing w:before="0" w:after="283"/>
              <w:jc w:val="left"/>
              <w:rPr>
                <w:b/>
                <w:sz w:val="18"/>
              </w:rPr>
            </w:pPr>
            <w:r>
              <w:rPr>
                <w:b/>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66750" cy="704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Adjusted corporate EBITDA and adjusted corporate EBITDA margin</w:t>
      </w:r>
    </w:p>
    <w:p>
      <w:pPr>
        <w:pStyle w:val="TextBody"/>
        <w:bidi w:val="0"/>
        <w:spacing w:before="0" w:after="0"/>
        <w:ind w:left="0" w:right="0" w:hanging="0"/>
        <w:jc w:val="left"/>
        <w:rPr>
          <w:caps w:val="false"/>
          <w:smallCaps w:val="false"/>
        </w:rPr>
      </w:pPr>
      <w:r>
        <w:rPr>
          <w:caps w:val="false"/>
          <w:smallCaps w:val="false"/>
        </w:rPr>
        <w:t> </w:t>
      </w:r>
    </w:p>
    <w:tbl>
      <w:tblPr>
        <w:tblW w:w="11895" w:type="dxa"/>
        <w:jc w:val="left"/>
        <w:tblInd w:w="0" w:type="dxa"/>
        <w:tblLayout w:type="fixed"/>
        <w:tblCellMar>
          <w:top w:w="0" w:type="dxa"/>
          <w:left w:w="0" w:type="dxa"/>
          <w:bottom w:w="0" w:type="dxa"/>
          <w:right w:w="0" w:type="dxa"/>
        </w:tblCellMar>
      </w:tblPr>
      <w:tblGrid>
        <w:gridCol w:w="1340"/>
        <w:gridCol w:w="60"/>
        <w:gridCol w:w="60"/>
        <w:gridCol w:w="755"/>
        <w:gridCol w:w="95"/>
        <w:gridCol w:w="60"/>
        <w:gridCol w:w="103"/>
        <w:gridCol w:w="892"/>
        <w:gridCol w:w="95"/>
        <w:gridCol w:w="60"/>
        <w:gridCol w:w="60"/>
        <w:gridCol w:w="755"/>
        <w:gridCol w:w="95"/>
        <w:gridCol w:w="60"/>
        <w:gridCol w:w="60"/>
        <w:gridCol w:w="635"/>
        <w:gridCol w:w="95"/>
        <w:gridCol w:w="60"/>
        <w:gridCol w:w="103"/>
        <w:gridCol w:w="892"/>
        <w:gridCol w:w="95"/>
        <w:gridCol w:w="60"/>
        <w:gridCol w:w="60"/>
        <w:gridCol w:w="875"/>
        <w:gridCol w:w="95"/>
        <w:gridCol w:w="60"/>
        <w:gridCol w:w="103"/>
        <w:gridCol w:w="892"/>
        <w:gridCol w:w="95"/>
        <w:gridCol w:w="60"/>
        <w:gridCol w:w="60"/>
        <w:gridCol w:w="875"/>
        <w:gridCol w:w="95"/>
        <w:gridCol w:w="60"/>
        <w:gridCol w:w="60"/>
        <w:gridCol w:w="755"/>
        <w:gridCol w:w="95"/>
        <w:gridCol w:w="60"/>
        <w:gridCol w:w="103"/>
        <w:gridCol w:w="892"/>
        <w:gridCol w:w="110"/>
      </w:tblGrid>
      <w:tr>
        <w:trPr/>
        <w:tc>
          <w:tcPr>
            <w:tcW w:w="13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93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 xml:space="preserve">Total </w:t>
              <w:br/>
              <w:t>Revenues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 xml:space="preserve">Total </w:t>
              <w:br/>
              <w:t>Revenues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 xml:space="preserve">Total </w:t>
              <w:br/>
              <w:t>Revenues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jc w:val="center"/>
              <w:rPr>
                <w:b/>
              </w:rPr>
            </w:pPr>
            <w:r>
              <w:rPr>
                <w:b/>
              </w:rPr>
              <w:t>% of</w:t>
            </w:r>
          </w:p>
          <w:p>
            <w:pPr>
              <w:pStyle w:val="TableContents"/>
              <w:bidi w:val="0"/>
              <w:spacing w:before="0" w:after="283"/>
              <w:jc w:val="center"/>
              <w:rPr>
                <w:b/>
              </w:rPr>
            </w:pPr>
            <w:r>
              <w:rPr>
                <w:b/>
              </w:rPr>
              <w:t xml:space="preserve">Total </w:t>
              <w:br/>
              <w:t>Revenues</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(133,082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(24.6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Impairment losses of rental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Professional fees related to financing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Impairment losses of long-lived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0.2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Adjusted Corporate EBITDA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(20,952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(3,088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(27,100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(4.2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(51,077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(7,528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(9.7</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Adjusted net loss and adjusted net loss margin</w:t>
      </w:r>
    </w:p>
    <w:p>
      <w:pPr>
        <w:pStyle w:val="TextBody"/>
        <w:bidi w:val="0"/>
        <w:spacing w:before="0" w:after="0"/>
        <w:ind w:left="0" w:right="0" w:hanging="0"/>
        <w:jc w:val="left"/>
        <w:rPr>
          <w:caps w:val="false"/>
          <w:smallCaps w:val="false"/>
        </w:rPr>
      </w:pPr>
      <w:r>
        <w:rPr>
          <w:caps w:val="false"/>
          <w:smallCaps w:val="false"/>
        </w:rPr>
        <w:t> </w:t>
      </w:r>
    </w:p>
    <w:tbl>
      <w:tblPr>
        <w:tblW w:w="12015" w:type="dxa"/>
        <w:jc w:val="left"/>
        <w:tblInd w:w="0" w:type="dxa"/>
        <w:tblLayout w:type="fixed"/>
        <w:tblCellMar>
          <w:top w:w="0" w:type="dxa"/>
          <w:left w:w="0" w:type="dxa"/>
          <w:bottom w:w="0" w:type="dxa"/>
          <w:right w:w="0" w:type="dxa"/>
        </w:tblCellMar>
      </w:tblPr>
      <w:tblGrid>
        <w:gridCol w:w="1340"/>
        <w:gridCol w:w="60"/>
        <w:gridCol w:w="60"/>
        <w:gridCol w:w="755"/>
        <w:gridCol w:w="95"/>
        <w:gridCol w:w="60"/>
        <w:gridCol w:w="103"/>
        <w:gridCol w:w="892"/>
        <w:gridCol w:w="95"/>
        <w:gridCol w:w="60"/>
        <w:gridCol w:w="60"/>
        <w:gridCol w:w="755"/>
        <w:gridCol w:w="95"/>
        <w:gridCol w:w="60"/>
        <w:gridCol w:w="60"/>
        <w:gridCol w:w="755"/>
        <w:gridCol w:w="95"/>
        <w:gridCol w:w="60"/>
        <w:gridCol w:w="103"/>
        <w:gridCol w:w="892"/>
        <w:gridCol w:w="95"/>
        <w:gridCol w:w="60"/>
        <w:gridCol w:w="60"/>
        <w:gridCol w:w="875"/>
        <w:gridCol w:w="95"/>
        <w:gridCol w:w="60"/>
        <w:gridCol w:w="103"/>
        <w:gridCol w:w="892"/>
        <w:gridCol w:w="95"/>
        <w:gridCol w:w="60"/>
        <w:gridCol w:w="60"/>
        <w:gridCol w:w="875"/>
        <w:gridCol w:w="95"/>
        <w:gridCol w:w="60"/>
        <w:gridCol w:w="60"/>
        <w:gridCol w:w="755"/>
        <w:gridCol w:w="95"/>
        <w:gridCol w:w="60"/>
        <w:gridCol w:w="103"/>
        <w:gridCol w:w="892"/>
        <w:gridCol w:w="110"/>
      </w:tblGrid>
      <w:tr>
        <w:trPr/>
        <w:tc>
          <w:tcPr>
            <w:tcW w:w="13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5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 xml:space="preserve">Total </w:t>
              <w:br/>
              <w:t>Revenues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 xml:space="preserve">Total </w:t>
              <w:br/>
              <w:t>Revenues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 xml:space="preserve">Total </w:t>
              <w:br/>
              <w:t>Revenues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 xml:space="preserve">Total </w:t>
              <w:br/>
              <w:t>Revenues</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(75,925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(134,866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(206,716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(39.0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Professional fees related to financing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Impairment losses of long-lived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Impairment losses of rental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Changes in fair value of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23,383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34,857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(6,075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67,459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12.7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Adjusted 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(39,726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(11.4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(54,852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(8,084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(20.0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(109,130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(16.8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(120,417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(17,747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(22.8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66750" cy="704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66750" cy="704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Adjusted basic and diluted net loss per Ordinary Share</w:t>
      </w:r>
    </w:p>
    <w:p>
      <w:pPr>
        <w:pStyle w:val="TextBody"/>
        <w:bidi w:val="0"/>
        <w:spacing w:before="0" w:after="0"/>
        <w:ind w:left="0" w:right="0" w:hanging="0"/>
        <w:jc w:val="left"/>
        <w:rPr>
          <w:caps w:val="false"/>
          <w:smallCaps w:val="false"/>
        </w:rPr>
      </w:pPr>
      <w:r>
        <w:rPr>
          <w:caps w:val="false"/>
          <w:smallCaps w:val="false"/>
        </w:rPr>
        <w:t> </w:t>
      </w:r>
    </w:p>
    <w:tbl>
      <w:tblPr>
        <w:tblW w:w="1465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25"/>
        <w:gridCol w:w="1080"/>
        <w:gridCol w:w="95"/>
        <w:gridCol w:w="60"/>
        <w:gridCol w:w="60"/>
        <w:gridCol w:w="1100"/>
        <w:gridCol w:w="95"/>
        <w:gridCol w:w="60"/>
        <w:gridCol w:w="60"/>
        <w:gridCol w:w="1100"/>
        <w:gridCol w:w="95"/>
        <w:gridCol w:w="60"/>
        <w:gridCol w:w="125"/>
        <w:gridCol w:w="1080"/>
        <w:gridCol w:w="95"/>
        <w:gridCol w:w="60"/>
        <w:gridCol w:w="60"/>
        <w:gridCol w:w="1100"/>
        <w:gridCol w:w="95"/>
        <w:gridCol w:w="60"/>
        <w:gridCol w:w="125"/>
        <w:gridCol w:w="1080"/>
        <w:gridCol w:w="95"/>
        <w:gridCol w:w="60"/>
        <w:gridCol w:w="60"/>
        <w:gridCol w:w="1100"/>
        <w:gridCol w:w="95"/>
        <w:gridCol w:w="60"/>
        <w:gridCol w:w="60"/>
        <w:gridCol w:w="1100"/>
        <w:gridCol w:w="95"/>
        <w:gridCol w:w="60"/>
        <w:gridCol w:w="125"/>
        <w:gridCol w:w="108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Unadjusted </w:t>
              <w:br/>
              <w:t>and Adjusted</w:t>
              <w:br/>
              <w:t xml:space="preserve">Basic and </w:t>
              <w:br/>
              <w:t xml:space="preserve">diluted </w:t>
              <w:br/>
              <w:t xml:space="preserve">loss per </w:t>
              <w:br/>
              <w:t>Ordinary Share</w:t>
              <w:b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Unadjusted </w:t>
              <w:br/>
              <w:t>and Adjusted</w:t>
              <w:br/>
              <w:t xml:space="preserve">Basic and </w:t>
              <w:br/>
              <w:t xml:space="preserve">diluted </w:t>
              <w:br/>
              <w:t xml:space="preserve">loss per </w:t>
              <w:br/>
              <w:t>Ordinary Share</w:t>
              <w:b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Unadjusted </w:t>
              <w:br/>
              <w:t>and Adjusted</w:t>
              <w:br/>
              <w:t xml:space="preserve">Basic and </w:t>
              <w:br/>
              <w:t xml:space="preserve">diluted </w:t>
              <w:br/>
              <w:t xml:space="preserve">loss per </w:t>
              <w:br/>
              <w:t>Ordinary Share</w:t>
              <w:b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Unadjusted</w:t>
              <w:br/>
              <w:t>and Adjusted</w:t>
              <w:br/>
              <w:t xml:space="preserve">Basic and </w:t>
              <w:br/>
              <w:t xml:space="preserve">diluted </w:t>
              <w:br/>
              <w:t xml:space="preserve">loss per </w:t>
              <w:br/>
              <w:t>Ordinary Share</w:t>
              <w:br/>
              <w:t>USD</w:t>
            </w:r>
          </w:p>
        </w:tc>
        <w:tc>
          <w:tcPr>
            <w:tcW w:w="75"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pPr>
            <w:r>
              <w:rPr/>
              <w:t>Net loss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(133,476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(207,365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(0.94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Professional fees related to financing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Impairment losses of long-lived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Impairment losses of rental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0.02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0.01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Changes in fair value of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pPr>
            <w:r>
              <w:rPr/>
              <w:t>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67,459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pPr>
            <w:r>
              <w:rPr/>
              <w:t>0.30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Adjusted Net loss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(39,256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b/>
              </w:rPr>
            </w:pPr>
            <w:r>
              <w:rPr>
                <w:b/>
              </w:rPr>
              <w:t>(1.21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(54,880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(8,088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b/>
              </w:rPr>
            </w:pPr>
            <w:r>
              <w:rPr>
                <w:b/>
              </w:rPr>
              <w:t>(0.25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(107,740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b/>
              </w:rPr>
            </w:pPr>
            <w:r>
              <w:rPr>
                <w:b/>
              </w:rPr>
              <w:t>(3.31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(121,066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(17,843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b/>
              </w:rPr>
            </w:pPr>
            <w:r>
              <w:rPr>
                <w:b/>
              </w:rPr>
              <w:t>(0.55</w:t>
            </w:r>
          </w:p>
        </w:tc>
        <w:tc>
          <w:tcPr>
            <w:tcW w:w="75" w:type="dxa"/>
            <w:tcBorders/>
            <w:shd w:fill="CCEEFF" w:val="clear"/>
            <w:vAlign w:val="center"/>
          </w:tcPr>
          <w:p>
            <w:pPr>
              <w:pStyle w:val="TableContents"/>
              <w:bidi w:val="0"/>
              <w:spacing w:before="0" w:after="283"/>
              <w:ind w:left="0" w:right="0" w:hanging="180"/>
              <w:jc w:val="left"/>
              <w:rPr>
                <w:b/>
              </w:rPr>
            </w:pPr>
            <w:r>
              <w:rPr>
                <w:b/>
              </w:rPr>
              <w:t>)</w:t>
            </w:r>
          </w:p>
        </w:tc>
      </w:tr>
      <w:tr>
        <w:trPr/>
        <w:tc>
          <w:tcPr>
            <w:tcW w:w="1340" w:type="dxa"/>
            <w:tcBorders/>
            <w:shd w:fill="FFFFFF" w:val="clear"/>
            <w:vAlign w:val="center"/>
          </w:tcPr>
          <w:p>
            <w:pPr>
              <w:pStyle w:val="TableContents"/>
              <w:bidi w:val="0"/>
              <w:spacing w:before="0" w:after="283"/>
              <w:jc w:val="left"/>
              <w:rPr/>
            </w:pPr>
            <w:r>
              <w:rPr/>
              <w:t>Weighted average shares outstanding used in calculating basic and diluted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32,541,772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32,519,377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32,519,377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32,540,993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32,519,377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32,519,377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Adjusted basic and diluted net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(0.25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(0.55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6485</Words>
  <Characters>34199</Characters>
  <CharactersWithSpaces>42545</CharactersWithSpaces>
  <Paragraphs>4980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